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Tr="00B72099">
        <w:tc>
          <w:tcPr>
            <w:tcW w:w="6343" w:type="dxa"/>
          </w:tcPr>
          <w:p w:rsidR="008A1538" w:rsidRPr="00065E63" w:rsidRDefault="008A1538" w:rsidP="008A1538">
            <w:pPr>
              <w:spacing w:line="276" w:lineRule="auto"/>
              <w:ind w:firstLine="0"/>
              <w:rPr>
                <w:sz w:val="28"/>
              </w:rPr>
            </w:pPr>
            <w:r w:rsidRPr="00065E63">
              <w:rPr>
                <w:sz w:val="28"/>
              </w:rPr>
              <w:t>УТВЕРЖДЕН</w:t>
            </w:r>
          </w:p>
          <w:p w:rsidR="008A1538" w:rsidRPr="00065E63" w:rsidRDefault="008A1538" w:rsidP="008A1538">
            <w:pPr>
              <w:spacing w:line="276" w:lineRule="auto"/>
              <w:ind w:firstLine="0"/>
              <w:rPr>
                <w:sz w:val="28"/>
              </w:rPr>
            </w:pPr>
            <w:r w:rsidRPr="00065E63">
              <w:rPr>
                <w:sz w:val="28"/>
              </w:rPr>
              <w:t xml:space="preserve">Решением Общего собрания членов </w:t>
            </w:r>
          </w:p>
          <w:p w:rsidR="008A1538" w:rsidRPr="00065E63" w:rsidRDefault="008A1538" w:rsidP="008A1538">
            <w:pPr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Ассоциации</w:t>
            </w:r>
            <w:r w:rsidRPr="00065E63">
              <w:rPr>
                <w:sz w:val="28"/>
              </w:rPr>
              <w:t xml:space="preserve"> СРО «Нефтегаз</w:t>
            </w:r>
            <w:r>
              <w:rPr>
                <w:sz w:val="28"/>
              </w:rPr>
              <w:t>изыскания</w:t>
            </w:r>
            <w:r w:rsidRPr="00065E63">
              <w:rPr>
                <w:sz w:val="28"/>
              </w:rPr>
              <w:t>-Альянс»</w:t>
            </w:r>
          </w:p>
          <w:p w:rsidR="008A1538" w:rsidRPr="00065E63" w:rsidRDefault="008A1538" w:rsidP="008A1538">
            <w:pPr>
              <w:spacing w:line="276" w:lineRule="auto"/>
              <w:ind w:firstLine="0"/>
              <w:rPr>
                <w:sz w:val="28"/>
              </w:rPr>
            </w:pPr>
            <w:r w:rsidRPr="00065E63">
              <w:rPr>
                <w:sz w:val="28"/>
              </w:rPr>
              <w:t xml:space="preserve">от  </w:t>
            </w:r>
            <w:r>
              <w:rPr>
                <w:sz w:val="28"/>
              </w:rPr>
              <w:t>06.04</w:t>
            </w:r>
            <w:r w:rsidRPr="00065E63">
              <w:rPr>
                <w:sz w:val="28"/>
              </w:rPr>
              <w:t>.201</w:t>
            </w:r>
            <w:r>
              <w:rPr>
                <w:sz w:val="28"/>
              </w:rPr>
              <w:t>8</w:t>
            </w:r>
            <w:r w:rsidRPr="00065E63">
              <w:rPr>
                <w:sz w:val="28"/>
              </w:rPr>
              <w:t xml:space="preserve">, протокол № </w:t>
            </w:r>
            <w:r>
              <w:rPr>
                <w:sz w:val="28"/>
              </w:rPr>
              <w:t>26</w:t>
            </w:r>
            <w:r w:rsidRPr="00065E63">
              <w:rPr>
                <w:sz w:val="28"/>
              </w:rPr>
              <w:t>,</w:t>
            </w:r>
          </w:p>
          <w:p w:rsidR="008A1538" w:rsidRPr="00065E63" w:rsidRDefault="008A1538" w:rsidP="008A1538">
            <w:pPr>
              <w:spacing w:line="276" w:lineRule="auto"/>
              <w:ind w:firstLine="0"/>
              <w:rPr>
                <w:sz w:val="28"/>
              </w:rPr>
            </w:pPr>
            <w:r w:rsidRPr="00065E6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3</w:t>
            </w:r>
            <w:r w:rsidRPr="00065E63">
              <w:rPr>
                <w:sz w:val="28"/>
              </w:rPr>
              <w:t xml:space="preserve"> </w:t>
            </w:r>
          </w:p>
          <w:p w:rsidR="008A1538" w:rsidRDefault="008A1538" w:rsidP="008A1538">
            <w:pPr>
              <w:ind w:firstLine="0"/>
              <w:jc w:val="center"/>
            </w:pPr>
          </w:p>
          <w:p w:rsidR="008A1538" w:rsidRDefault="008A1538" w:rsidP="008A1538">
            <w:pPr>
              <w:ind w:firstLine="0"/>
              <w:jc w:val="center"/>
            </w:pPr>
          </w:p>
          <w:p w:rsidR="008A1538" w:rsidRDefault="008A1538" w:rsidP="008A1538">
            <w:pPr>
              <w:ind w:firstLine="0"/>
              <w:jc w:val="center"/>
            </w:pPr>
            <w:r>
              <w:t>_______________________________</w:t>
            </w:r>
            <w:r>
              <w:rPr>
                <w:sz w:val="28"/>
              </w:rPr>
              <w:t>С.В. Савенков</w:t>
            </w:r>
          </w:p>
        </w:tc>
      </w:tr>
      <w:tr w:rsidR="008A1538" w:rsidTr="00B72099">
        <w:tc>
          <w:tcPr>
            <w:tcW w:w="6343" w:type="dxa"/>
          </w:tcPr>
          <w:p w:rsidR="008A1538" w:rsidRDefault="008A1538" w:rsidP="00B72099"/>
        </w:tc>
      </w:tr>
    </w:tbl>
    <w:p w:rsidR="008A1538" w:rsidRPr="003C0FC8" w:rsidRDefault="008A1538" w:rsidP="008A1538">
      <w:pPr>
        <w:ind w:firstLine="5103"/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rPr>
          <w:sz w:val="28"/>
          <w:szCs w:val="28"/>
        </w:rPr>
      </w:pPr>
    </w:p>
    <w:p w:rsidR="008A1538" w:rsidRPr="003C0FC8" w:rsidRDefault="008A1538" w:rsidP="008A1538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8A1538" w:rsidRDefault="008A1538" w:rsidP="008A1538">
      <w:pPr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генерального директора</w:t>
      </w:r>
    </w:p>
    <w:p w:rsidR="008A1538" w:rsidRPr="003C0FC8" w:rsidRDefault="008A1538" w:rsidP="008A1538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8A1538" w:rsidRPr="003C0FC8" w:rsidRDefault="008A1538" w:rsidP="008A1538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>
        <w:rPr>
          <w:b/>
          <w:bCs/>
          <w:sz w:val="28"/>
          <w:szCs w:val="26"/>
        </w:rPr>
        <w:t>7</w:t>
      </w:r>
      <w:r w:rsidRPr="003C0FC8">
        <w:rPr>
          <w:b/>
          <w:bCs/>
          <w:sz w:val="28"/>
          <w:szCs w:val="26"/>
        </w:rPr>
        <w:t xml:space="preserve"> год</w:t>
      </w: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Pr="003C0FC8" w:rsidRDefault="008A1538" w:rsidP="008A1538">
      <w:pPr>
        <w:autoSpaceDE w:val="0"/>
        <w:autoSpaceDN w:val="0"/>
        <w:adjustRightInd w:val="0"/>
        <w:rPr>
          <w:sz w:val="26"/>
          <w:szCs w:val="26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8A1538" w:rsidRDefault="008A1538" w:rsidP="008A1538">
      <w:pPr>
        <w:autoSpaceDE w:val="0"/>
        <w:autoSpaceDN w:val="0"/>
        <w:adjustRightInd w:val="0"/>
        <w:ind w:firstLine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</w:t>
      </w:r>
      <w:bookmarkStart w:id="0" w:name="_GoBack"/>
      <w:bookmarkEnd w:id="0"/>
      <w:r w:rsidRPr="003C0FC8">
        <w:rPr>
          <w:sz w:val="28"/>
          <w:szCs w:val="26"/>
        </w:rPr>
        <w:t>ква</w:t>
      </w:r>
    </w:p>
    <w:p w:rsidR="008A1538" w:rsidRDefault="008A1538" w:rsidP="008A1538">
      <w:pPr>
        <w:ind w:firstLine="0"/>
        <w:jc w:val="center"/>
        <w:rPr>
          <w:szCs w:val="24"/>
        </w:rPr>
      </w:pPr>
      <w:r w:rsidRPr="003C0FC8">
        <w:rPr>
          <w:sz w:val="28"/>
          <w:szCs w:val="26"/>
        </w:rPr>
        <w:t>201</w:t>
      </w:r>
      <w:r>
        <w:rPr>
          <w:sz w:val="28"/>
          <w:szCs w:val="26"/>
        </w:rPr>
        <w:t>8</w:t>
      </w:r>
    </w:p>
    <w:p w:rsidR="008A1538" w:rsidRDefault="008A1538" w:rsidP="008A1538">
      <w:pPr>
        <w:ind w:firstLine="0"/>
        <w:rPr>
          <w:szCs w:val="24"/>
        </w:rPr>
        <w:sectPr w:rsidR="008A1538" w:rsidSect="00C0685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9A46F6" w:rsidRPr="00A458C1" w:rsidRDefault="009A46F6" w:rsidP="009A46F6">
      <w:pPr>
        <w:rPr>
          <w:szCs w:val="24"/>
        </w:rPr>
      </w:pPr>
      <w:proofErr w:type="gramStart"/>
      <w:r w:rsidRPr="00A458C1">
        <w:rPr>
          <w:szCs w:val="24"/>
        </w:rPr>
        <w:t>Работа Ассоциации СРО «Нефтегазизыскания-Альянс» (далее - Ассоциация) в отчетном 2017 году велась в трех основных направлениях: 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Федерации), обеспечение соответствия Ассоциации требованиям законодательства Российской Федерации в связи с реформой законодательства о градостроительной деятельности, улучшение</w:t>
      </w:r>
      <w:proofErr w:type="gramEnd"/>
      <w:r w:rsidRPr="00A458C1">
        <w:rPr>
          <w:szCs w:val="24"/>
        </w:rPr>
        <w:t xml:space="preserve"> финансовых показателей деятельности Ассоциац</w:t>
      </w:r>
      <w:proofErr w:type="gramStart"/>
      <w:r w:rsidRPr="00A458C1">
        <w:rPr>
          <w:szCs w:val="24"/>
        </w:rPr>
        <w:t>ии и ее</w:t>
      </w:r>
      <w:proofErr w:type="gramEnd"/>
      <w:r w:rsidRPr="00A458C1">
        <w:rPr>
          <w:szCs w:val="24"/>
        </w:rPr>
        <w:t xml:space="preserve"> развитие.</w:t>
      </w:r>
      <w:r w:rsidR="00546327" w:rsidRPr="00A458C1">
        <w:rPr>
          <w:szCs w:val="24"/>
        </w:rPr>
        <w:t xml:space="preserve"> 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9A46F6">
      <w:pPr>
        <w:rPr>
          <w:szCs w:val="24"/>
        </w:rPr>
      </w:pPr>
    </w:p>
    <w:p w:rsidR="00BA1546" w:rsidRPr="00A458C1" w:rsidRDefault="009A46F6" w:rsidP="009A46F6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546327">
      <w:pPr>
        <w:rPr>
          <w:szCs w:val="24"/>
        </w:rPr>
      </w:pPr>
    </w:p>
    <w:p w:rsidR="00546327" w:rsidRPr="00C06850" w:rsidRDefault="00546327" w:rsidP="00546327">
      <w:pPr>
        <w:rPr>
          <w:szCs w:val="24"/>
        </w:rPr>
      </w:pPr>
      <w:r w:rsidRPr="00C06850">
        <w:rPr>
          <w:szCs w:val="24"/>
        </w:rPr>
        <w:t xml:space="preserve">На начало отчетного периода в Ассоциации состояло </w:t>
      </w:r>
      <w:r w:rsidR="00B765F7" w:rsidRPr="00C06850">
        <w:rPr>
          <w:szCs w:val="24"/>
        </w:rPr>
        <w:t>55</w:t>
      </w:r>
      <w:r w:rsidRPr="00C06850">
        <w:rPr>
          <w:szCs w:val="24"/>
        </w:rPr>
        <w:t xml:space="preserve"> юридических лиц. На конец отчетного периода – </w:t>
      </w:r>
      <w:r w:rsidR="00DE1FEE" w:rsidRPr="00C06850">
        <w:rPr>
          <w:szCs w:val="24"/>
        </w:rPr>
        <w:t>84</w:t>
      </w:r>
      <w:r w:rsidRPr="00C06850">
        <w:rPr>
          <w:szCs w:val="24"/>
        </w:rPr>
        <w:t xml:space="preserve"> </w:t>
      </w:r>
      <w:proofErr w:type="gramStart"/>
      <w:r w:rsidRPr="00C06850">
        <w:rPr>
          <w:szCs w:val="24"/>
        </w:rPr>
        <w:t>юридических</w:t>
      </w:r>
      <w:proofErr w:type="gramEnd"/>
      <w:r w:rsidRPr="00C06850">
        <w:rPr>
          <w:szCs w:val="24"/>
        </w:rPr>
        <w:t xml:space="preserve"> лица.</w:t>
      </w:r>
    </w:p>
    <w:p w:rsidR="00045C33" w:rsidRPr="00C06850" w:rsidRDefault="00045C33" w:rsidP="00546327">
      <w:pPr>
        <w:rPr>
          <w:szCs w:val="24"/>
        </w:rPr>
      </w:pPr>
      <w:r w:rsidRPr="00C06850">
        <w:rPr>
          <w:szCs w:val="24"/>
        </w:rPr>
        <w:t>Всего принято в члены за отчетный период 3</w:t>
      </w:r>
      <w:r w:rsidR="00DE1FEE" w:rsidRPr="00C06850">
        <w:rPr>
          <w:szCs w:val="24"/>
        </w:rPr>
        <w:t>8</w:t>
      </w:r>
      <w:r w:rsidRPr="00C06850">
        <w:rPr>
          <w:szCs w:val="24"/>
        </w:rPr>
        <w:t xml:space="preserve"> юридических лиц, прекращено членство </w:t>
      </w:r>
      <w:r w:rsidR="00B765F7" w:rsidRPr="00C06850">
        <w:rPr>
          <w:szCs w:val="24"/>
        </w:rPr>
        <w:t>9</w:t>
      </w:r>
      <w:r w:rsidRPr="00C06850">
        <w:rPr>
          <w:szCs w:val="24"/>
        </w:rPr>
        <w:t xml:space="preserve"> юри</w:t>
      </w:r>
      <w:r w:rsidR="00DE1FEE" w:rsidRPr="00C06850">
        <w:rPr>
          <w:szCs w:val="24"/>
        </w:rPr>
        <w:t>дических лиц, в том числе исключено решениями органов управления 4 юридических лица.</w:t>
      </w:r>
    </w:p>
    <w:p w:rsidR="00546327" w:rsidRPr="00C06850" w:rsidRDefault="00546327" w:rsidP="00546327">
      <w:pPr>
        <w:rPr>
          <w:szCs w:val="24"/>
        </w:rPr>
      </w:pPr>
      <w:r w:rsidRPr="00C06850">
        <w:rPr>
          <w:szCs w:val="24"/>
        </w:rPr>
        <w:t>За 2017 год работниками Ассоциации</w:t>
      </w:r>
      <w:r w:rsidR="00045C33" w:rsidRPr="00C06850">
        <w:rPr>
          <w:szCs w:val="24"/>
        </w:rPr>
        <w:t xml:space="preserve"> совместно с членами Совета Ассоциации</w:t>
      </w:r>
      <w:r w:rsidRPr="00C06850">
        <w:rPr>
          <w:szCs w:val="24"/>
        </w:rPr>
        <w:t xml:space="preserve"> были разработаны и представлены на рассмотрение в компетентные органы управления Ассоциации внутренние </w:t>
      </w:r>
      <w:r w:rsidR="00045C33" w:rsidRPr="00C06850">
        <w:rPr>
          <w:szCs w:val="24"/>
        </w:rPr>
        <w:t>документы Ассоциации: для утверждения Советом Ассоциации – 9 внутренних документов, для утверждения общим собранием – 8 документов, включая Устав Ассоциации в новой редакции.</w:t>
      </w:r>
    </w:p>
    <w:p w:rsidR="00045C33" w:rsidRPr="00C06850" w:rsidRDefault="00045C33" w:rsidP="00546327">
      <w:pPr>
        <w:rPr>
          <w:szCs w:val="24"/>
        </w:rPr>
      </w:pPr>
      <w:r w:rsidRPr="00C06850">
        <w:rPr>
          <w:szCs w:val="24"/>
        </w:rPr>
        <w:t>Было организовано проведение 4 общих собраний членов Ассоциации, 27 заседаний Совета Ассоциации (как в форме совместного присутствия, так и заочным голосованием).</w:t>
      </w:r>
    </w:p>
    <w:p w:rsidR="00B765F7" w:rsidRPr="00A458C1" w:rsidRDefault="00B765F7" w:rsidP="00546327">
      <w:pPr>
        <w:rPr>
          <w:szCs w:val="24"/>
        </w:rPr>
      </w:pPr>
      <w:r w:rsidRPr="00C06850">
        <w:rPr>
          <w:szCs w:val="24"/>
        </w:rPr>
        <w:t>В связи с отменой свидетельства о допуске к работам, которые оказывают влияние на безопасность объектов капитального строительства, организована работа по выдаче членам Ассоциации и иным заинтересованным лицам документа, с 1 июля 2017 года подтверждающего право юридического лица выполнять инженерные изыскания – выписки из реестра членов саморегулируемой организации. Для снижения делопроизводственной нагрузки силами работников Ассоциации (без привлечения на платной основе специализированных организаций) на основе реестра членов была создана база данных, на</w:t>
      </w:r>
      <w:r>
        <w:rPr>
          <w:szCs w:val="24"/>
        </w:rPr>
        <w:t xml:space="preserve"> основе которой запущена автоматизированная система формирования выписки. Всего за отчетный период выдано и направлено около 300 выписок из реестра членов.</w:t>
      </w:r>
    </w:p>
    <w:p w:rsidR="00DE1FEE" w:rsidRPr="00A458C1" w:rsidRDefault="00DE1FEE" w:rsidP="00546327">
      <w:pPr>
        <w:rPr>
          <w:szCs w:val="24"/>
        </w:rPr>
      </w:pPr>
      <w:r w:rsidRPr="00A458C1">
        <w:rPr>
          <w:szCs w:val="24"/>
        </w:rPr>
        <w:t>Деятельность Ассоциации обеспечивалась силами 5 работников, с учетом работы по совместительству численность работников Ассоциации в 2017 году (среднесписочная) не изменялась и составила 3,67 работников.</w:t>
      </w:r>
    </w:p>
    <w:p w:rsidR="00DE1FEE" w:rsidRPr="00A458C1" w:rsidRDefault="00DE1FEE" w:rsidP="00546327">
      <w:pPr>
        <w:rPr>
          <w:szCs w:val="24"/>
        </w:rPr>
      </w:pPr>
    </w:p>
    <w:p w:rsidR="00DE1FEE" w:rsidRPr="00A458C1" w:rsidRDefault="00DB549C" w:rsidP="00DE1FEE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Финансы</w:t>
      </w:r>
    </w:p>
    <w:p w:rsidR="00DE1FEE" w:rsidRPr="00A458C1" w:rsidRDefault="00DE1FEE" w:rsidP="00DE1FEE">
      <w:pPr>
        <w:rPr>
          <w:szCs w:val="24"/>
        </w:rPr>
      </w:pPr>
    </w:p>
    <w:p w:rsidR="00DE1FEE" w:rsidRPr="00A458C1" w:rsidRDefault="00DE1FEE" w:rsidP="00DE1FEE">
      <w:pPr>
        <w:rPr>
          <w:szCs w:val="24"/>
        </w:rPr>
      </w:pPr>
      <w:r w:rsidRPr="00A458C1">
        <w:rPr>
          <w:szCs w:val="24"/>
        </w:rPr>
        <w:t>На начало 2017 года остаток средств Ассоциации составлял 4 489 тыс. руб. За отчетный период получено доходов – 6 637 тыс. руб., в т.</w:t>
      </w:r>
      <w:r w:rsidR="00DB549C" w:rsidRPr="00A458C1">
        <w:rPr>
          <w:szCs w:val="24"/>
        </w:rPr>
        <w:t xml:space="preserve"> </w:t>
      </w:r>
      <w:r w:rsidRPr="00A458C1">
        <w:rPr>
          <w:szCs w:val="24"/>
        </w:rPr>
        <w:t>ч. 6 384 тыс. руб. – доходы от членских взносов, 253 тыс. руб. – доходы о</w:t>
      </w:r>
      <w:r w:rsidR="00ED466C" w:rsidRPr="00A458C1">
        <w:rPr>
          <w:szCs w:val="24"/>
        </w:rPr>
        <w:t xml:space="preserve">т размещения средств на вкладах. </w:t>
      </w:r>
    </w:p>
    <w:p w:rsidR="00045C33" w:rsidRPr="00A458C1" w:rsidRDefault="00ED466C" w:rsidP="00546327">
      <w:pPr>
        <w:rPr>
          <w:szCs w:val="24"/>
        </w:rPr>
      </w:pPr>
      <w:r w:rsidRPr="00A458C1">
        <w:rPr>
          <w:szCs w:val="24"/>
        </w:rPr>
        <w:t>Расходы Ассоциации за 2017 год составили 7 667 руб. Основные статьи расходов – оплата труда, аренда помещений, взносы в национальное объединение саморегулируемых организаций</w:t>
      </w:r>
      <w:r w:rsidR="00E525BD" w:rsidRPr="00A458C1">
        <w:rPr>
          <w:szCs w:val="24"/>
        </w:rPr>
        <w:t>.</w:t>
      </w:r>
    </w:p>
    <w:p w:rsidR="00E525BD" w:rsidRPr="00A458C1" w:rsidRDefault="00E525BD" w:rsidP="00546327">
      <w:pPr>
        <w:rPr>
          <w:szCs w:val="24"/>
        </w:rPr>
      </w:pPr>
      <w:r w:rsidRPr="00A458C1">
        <w:rPr>
          <w:szCs w:val="24"/>
        </w:rPr>
        <w:t xml:space="preserve">В итоге </w:t>
      </w:r>
      <w:proofErr w:type="gramStart"/>
      <w:r w:rsidRPr="00A458C1">
        <w:rPr>
          <w:szCs w:val="24"/>
        </w:rPr>
        <w:t>на конец</w:t>
      </w:r>
      <w:proofErr w:type="gramEnd"/>
      <w:r w:rsidRPr="00A458C1">
        <w:rPr>
          <w:szCs w:val="24"/>
        </w:rPr>
        <w:t xml:space="preserve"> 2017 года остаток средств Ассоциации составил 3 459 тыс. руб.</w:t>
      </w:r>
    </w:p>
    <w:p w:rsidR="00E525BD" w:rsidRPr="00A458C1" w:rsidRDefault="00E525BD" w:rsidP="00546327">
      <w:pPr>
        <w:rPr>
          <w:szCs w:val="24"/>
        </w:rPr>
      </w:pPr>
      <w:r w:rsidRPr="00A458C1">
        <w:rPr>
          <w:szCs w:val="24"/>
        </w:rPr>
        <w:t>Указанные сведения отражены в бухгалтерской отчетности Ассоциации за 2017 год, верность которой подтверждена проведенным аудитом. Полные сведения о расходах и доходах Ассоциации за 2017 год приведены в исполнении сметы – Приложение 1 к настоящему отчету.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В соответствии с требованиями ч. 2 ст. 55.4 Градостроительного кодекса Российской Федерации в Ассоциации решением Совета Ассоциации создан компенсационный фонд обеспечения договорных обязательств. </w:t>
      </w:r>
      <w:proofErr w:type="gramStart"/>
      <w:r w:rsidRPr="00A458C1">
        <w:rPr>
          <w:szCs w:val="24"/>
        </w:rPr>
        <w:t xml:space="preserve">Работниками Ассоциации были проведены необходимые расчеты для определения размера компенсационного фонда, каждому члену Ассоциации, изъявившему желание принять участие в формировании компенсационного фонда обеспечения договорных обязательств, было направлено уведомление, содержащее индивидуальные расчеты необходимой доплаты в зависимости от сообщенных каждым членом Ассоциации параметров деятельности. </w:t>
      </w:r>
      <w:proofErr w:type="gramEnd"/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>Размер компенсационного фонда обеспечения договорных обязательств Ассоциации на конец года составил 27 824 тыс. руб.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>Размер компенсационного фонда возмещения вреда уменьшился вследствие формирования из его состава компенсационного фонда обеспечения договорных обязательств (посредством распределения каждым членом Ассоциации ранее внесенного взноса) и на конец года составил 13 650 тыс. руб.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Средства компенсационных фондов Ассоциации в соответствии с принятым высшим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</w:t>
      </w:r>
      <w:r w:rsidR="003C419C" w:rsidRPr="00A458C1">
        <w:rPr>
          <w:szCs w:val="24"/>
        </w:rPr>
        <w:t>кредитным учреждениями для размещения средств компенсационных фондов – в Банке ВТБ (ПАО).</w:t>
      </w:r>
      <w:r w:rsidRPr="00A458C1">
        <w:rPr>
          <w:szCs w:val="24"/>
        </w:rPr>
        <w:t xml:space="preserve"> </w:t>
      </w:r>
    </w:p>
    <w:p w:rsidR="00E525BD" w:rsidRPr="00A458C1" w:rsidRDefault="00E525BD" w:rsidP="00546327">
      <w:pPr>
        <w:rPr>
          <w:szCs w:val="24"/>
        </w:rPr>
      </w:pPr>
    </w:p>
    <w:p w:rsidR="00E525BD" w:rsidRPr="00A458C1" w:rsidRDefault="00E525BD" w:rsidP="00E525BD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Контроль</w:t>
      </w:r>
    </w:p>
    <w:p w:rsidR="00E525BD" w:rsidRPr="00A458C1" w:rsidRDefault="00E525BD" w:rsidP="00E525BD">
      <w:pPr>
        <w:rPr>
          <w:b/>
          <w:szCs w:val="24"/>
        </w:rPr>
      </w:pPr>
    </w:p>
    <w:p w:rsidR="003023AA" w:rsidRPr="00A458C1" w:rsidRDefault="00E525BD" w:rsidP="00E525BD">
      <w:pPr>
        <w:rPr>
          <w:szCs w:val="24"/>
        </w:rPr>
      </w:pPr>
      <w:r w:rsidRPr="00A458C1">
        <w:rPr>
          <w:szCs w:val="24"/>
        </w:rPr>
        <w:t xml:space="preserve">В отчетном 2017 году Ассоциация осуществляла контроль деятельности ее членов с учетом изменений законодательства о градостроительной деятельности. Так, с 1 июля 2017 года изменилась предписанная законодательством Российской Федерации периодичность и предельная частота проверок. Также существенно изменились требования к членам саморегулируемых организаций, в </w:t>
      </w:r>
      <w:proofErr w:type="gramStart"/>
      <w:r w:rsidRPr="00A458C1">
        <w:rPr>
          <w:szCs w:val="24"/>
        </w:rPr>
        <w:t>связи</w:t>
      </w:r>
      <w:proofErr w:type="gramEnd"/>
      <w:r w:rsidRPr="00A458C1">
        <w:rPr>
          <w:szCs w:val="24"/>
        </w:rPr>
        <w:t xml:space="preserve"> с чем контрольная деятельность </w:t>
      </w:r>
      <w:r w:rsidR="003023AA" w:rsidRPr="00A458C1">
        <w:rPr>
          <w:szCs w:val="24"/>
        </w:rPr>
        <w:t>осуществлялась в условиях переходного периода и была преимущественно направлена на содействие членам Ассоциации в обеспечении их соответствия измененным требованиям.</w:t>
      </w:r>
    </w:p>
    <w:p w:rsidR="00E525BD" w:rsidRPr="00A458C1" w:rsidRDefault="003023AA" w:rsidP="00E525BD">
      <w:pPr>
        <w:rPr>
          <w:szCs w:val="24"/>
        </w:rPr>
      </w:pPr>
      <w:r w:rsidRPr="00A458C1">
        <w:rPr>
          <w:szCs w:val="24"/>
        </w:rPr>
        <w:t>В частности, с 1 июля 2017 года обязательным требованием к членам саморегулируемых организаций стало наличие не менее двух работников, сведения о которых включены в Национальный  реестр специалистов в области инженерных изысканий и архитектурно-строительного проектирования (далее - НРС).</w:t>
      </w:r>
    </w:p>
    <w:p w:rsidR="003023AA" w:rsidRPr="00A458C1" w:rsidRDefault="003023AA" w:rsidP="00E525BD">
      <w:pPr>
        <w:rPr>
          <w:szCs w:val="24"/>
        </w:rPr>
      </w:pPr>
      <w:r w:rsidRPr="00A458C1">
        <w:rPr>
          <w:szCs w:val="24"/>
        </w:rPr>
        <w:t>Для оказания содействия своим членам Ассоциация заключила с национальным объединением саморегулируемых организаций договор поручения на осуществление большей части функций по ведению реестра и возложила на себя обязанности оператора национального реестра специалистов.</w:t>
      </w:r>
      <w:r w:rsidR="0073485B" w:rsidRPr="00A458C1">
        <w:rPr>
          <w:szCs w:val="24"/>
        </w:rPr>
        <w:t xml:space="preserve"> Ассоциации был предоставлен операционный доступ в автоматизированную информационную систему НОПРИЗ – АИС НРС.</w:t>
      </w:r>
    </w:p>
    <w:p w:rsidR="003023AA" w:rsidRPr="00A458C1" w:rsidRDefault="003023AA" w:rsidP="00E525BD">
      <w:pPr>
        <w:rPr>
          <w:szCs w:val="24"/>
        </w:rPr>
      </w:pPr>
      <w:proofErr w:type="gramStart"/>
      <w:r w:rsidRPr="00A458C1">
        <w:rPr>
          <w:szCs w:val="24"/>
        </w:rPr>
        <w:t xml:space="preserve">Для выполнения функции оператора НРС в Ассоциации была организована работа по консультированию заинтересованных лиц (членов Ассоциации и их работников) в части требований к заявителям, по заполнению заявлений на включение сведений в НРС и формированию необходимого комплекта документов – </w:t>
      </w:r>
      <w:r w:rsidR="0073485B" w:rsidRPr="00A458C1">
        <w:rPr>
          <w:szCs w:val="24"/>
        </w:rPr>
        <w:t xml:space="preserve">в </w:t>
      </w:r>
      <w:r w:rsidRPr="00A458C1">
        <w:rPr>
          <w:szCs w:val="24"/>
        </w:rPr>
        <w:t xml:space="preserve">подтверждение образования надлежащего уровня и профиля, стажа работы, отсутствия судимости, наличию дополнительного профессионального образования по необходимому профилю и т.д. </w:t>
      </w:r>
      <w:proofErr w:type="gramEnd"/>
    </w:p>
    <w:p w:rsidR="003023AA" w:rsidRPr="00C06850" w:rsidRDefault="003023AA" w:rsidP="00E525BD">
      <w:pPr>
        <w:rPr>
          <w:szCs w:val="24"/>
        </w:rPr>
      </w:pPr>
      <w:r w:rsidRPr="00A458C1">
        <w:rPr>
          <w:szCs w:val="24"/>
        </w:rPr>
        <w:t xml:space="preserve">По результатам проверки и </w:t>
      </w:r>
      <w:proofErr w:type="gramStart"/>
      <w:r w:rsidRPr="00A458C1">
        <w:rPr>
          <w:szCs w:val="24"/>
        </w:rPr>
        <w:t>обработки</w:t>
      </w:r>
      <w:proofErr w:type="gramEnd"/>
      <w:r w:rsidRPr="00A458C1">
        <w:rPr>
          <w:szCs w:val="24"/>
        </w:rPr>
        <w:t xml:space="preserve"> сформированных и направленных в Ассоциацию заявлений </w:t>
      </w:r>
      <w:r w:rsidR="0073485B" w:rsidRPr="00A458C1">
        <w:rPr>
          <w:szCs w:val="24"/>
        </w:rPr>
        <w:t xml:space="preserve">сведения о заявителях работниками Ассоциации (уполномоченными оператора) сведения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="0073485B" w:rsidRPr="00C06850">
        <w:rPr>
          <w:szCs w:val="24"/>
        </w:rPr>
        <w:t>рассмотрения) и оказывали заявителям содействие в обращении в НОПРИЗ при наличии такой необходимости.</w:t>
      </w:r>
    </w:p>
    <w:p w:rsidR="003C419C" w:rsidRPr="00C06850" w:rsidRDefault="003C419C" w:rsidP="00E525BD">
      <w:pPr>
        <w:rPr>
          <w:szCs w:val="24"/>
        </w:rPr>
      </w:pPr>
      <w:r w:rsidRPr="00C06850">
        <w:rPr>
          <w:szCs w:val="24"/>
        </w:rPr>
        <w:t xml:space="preserve">Всего за отчетный период работниками Ассоциации обработано около </w:t>
      </w:r>
      <w:r w:rsidR="00B765F7" w:rsidRPr="00C06850">
        <w:rPr>
          <w:szCs w:val="24"/>
        </w:rPr>
        <w:t xml:space="preserve">порядка </w:t>
      </w:r>
      <w:r w:rsidRPr="00C06850">
        <w:rPr>
          <w:szCs w:val="24"/>
        </w:rPr>
        <w:t>2</w:t>
      </w:r>
      <w:r w:rsidR="00B765F7" w:rsidRPr="00C06850">
        <w:rPr>
          <w:szCs w:val="24"/>
        </w:rPr>
        <w:t>2</w:t>
      </w:r>
      <w:r w:rsidRPr="00C06850">
        <w:rPr>
          <w:szCs w:val="24"/>
        </w:rPr>
        <w:t>0 комплектов документов для направления заявления о включении сведений в НРС. Из числа работников членов Ассоциации по результатам работы включено в НРС более 1</w:t>
      </w:r>
      <w:r w:rsidR="00DB549C" w:rsidRPr="00C06850">
        <w:rPr>
          <w:szCs w:val="24"/>
        </w:rPr>
        <w:t>8</w:t>
      </w:r>
      <w:r w:rsidRPr="00C06850">
        <w:rPr>
          <w:szCs w:val="24"/>
        </w:rPr>
        <w:t>0 специалистов.</w:t>
      </w:r>
    </w:p>
    <w:p w:rsidR="0073485B" w:rsidRPr="00A458C1" w:rsidRDefault="00B765F7" w:rsidP="00E525BD">
      <w:pPr>
        <w:rPr>
          <w:szCs w:val="24"/>
        </w:rPr>
      </w:pPr>
      <w:r w:rsidRPr="00C06850">
        <w:rPr>
          <w:szCs w:val="24"/>
        </w:rPr>
        <w:t xml:space="preserve">С 1 июля 2017 года плановая проверка не может проводиться чаще, чем один раз в год. </w:t>
      </w:r>
      <w:r w:rsidR="003C419C" w:rsidRPr="00C06850">
        <w:rPr>
          <w:szCs w:val="24"/>
        </w:rPr>
        <w:t xml:space="preserve">Всего за отчетный год проведено </w:t>
      </w:r>
      <w:r w:rsidRPr="00C06850">
        <w:rPr>
          <w:szCs w:val="24"/>
        </w:rPr>
        <w:t>58</w:t>
      </w:r>
      <w:r w:rsidR="003C419C" w:rsidRPr="00C06850">
        <w:rPr>
          <w:szCs w:val="24"/>
        </w:rPr>
        <w:t xml:space="preserve"> плановых проверки, из них с выездом членов контрольной комиссии – </w:t>
      </w:r>
      <w:r w:rsidRPr="00C06850">
        <w:rPr>
          <w:szCs w:val="24"/>
        </w:rPr>
        <w:t>4</w:t>
      </w:r>
      <w:r w:rsidR="003C419C" w:rsidRPr="00C06850">
        <w:rPr>
          <w:szCs w:val="24"/>
        </w:rPr>
        <w:t xml:space="preserve">. В большинстве случаев выявленные нарушения устранялись до окончания проверки. </w:t>
      </w:r>
      <w:r w:rsidR="00DB549C" w:rsidRPr="00C06850">
        <w:rPr>
          <w:szCs w:val="24"/>
        </w:rPr>
        <w:t>Часть членов Ассоциации, не соответствующих требованиям, была исключена до окончания проверки по различным основаниям.</w:t>
      </w:r>
    </w:p>
    <w:p w:rsidR="00DB549C" w:rsidRPr="00A458C1" w:rsidRDefault="00DB549C" w:rsidP="00E525BD">
      <w:pPr>
        <w:rPr>
          <w:szCs w:val="24"/>
        </w:rPr>
      </w:pPr>
    </w:p>
    <w:p w:rsidR="00DB549C" w:rsidRPr="00A458C1" w:rsidRDefault="00DB549C" w:rsidP="00DB549C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Развитие</w:t>
      </w:r>
    </w:p>
    <w:p w:rsidR="00DB549C" w:rsidRPr="00A458C1" w:rsidRDefault="00DB549C" w:rsidP="00DB549C">
      <w:pPr>
        <w:rPr>
          <w:b/>
          <w:szCs w:val="24"/>
        </w:rPr>
      </w:pPr>
    </w:p>
    <w:p w:rsidR="00DB549C" w:rsidRPr="00A458C1" w:rsidRDefault="00905C0B" w:rsidP="00DB549C">
      <w:pPr>
        <w:rPr>
          <w:szCs w:val="24"/>
        </w:rPr>
      </w:pPr>
      <w:r w:rsidRPr="00A458C1">
        <w:rPr>
          <w:szCs w:val="24"/>
        </w:rPr>
        <w:t>В целях развития Ассоциации решались задачи по увеличению числа членов Ассоциации, по формированию и поддержанию авторитета Ассоциации в НОПРИЗ, по повышению информированности неограниченного круга лиц о деятельности Ассоциации, по участию в законотворческой деятельности.</w:t>
      </w:r>
    </w:p>
    <w:p w:rsidR="00905C0B" w:rsidRPr="00A458C1" w:rsidRDefault="00905C0B" w:rsidP="00DB549C">
      <w:pPr>
        <w:rPr>
          <w:szCs w:val="24"/>
        </w:rPr>
      </w:pPr>
      <w:r w:rsidRPr="00A458C1">
        <w:rPr>
          <w:szCs w:val="24"/>
        </w:rPr>
        <w:t xml:space="preserve">В ходе решения поставленных задач Ассоциация принимала участие в профильных мероприятиях – конференции ГЕО-Сибирь 2017 (посредством выступления с тематическим докладом), Дне строителя (под патронажем национальных объединений), </w:t>
      </w:r>
      <w:r w:rsidR="00546E8A" w:rsidRPr="00A458C1">
        <w:rPr>
          <w:szCs w:val="24"/>
        </w:rPr>
        <w:t>в работе Комитета НОПРИЗ по саморегулированию, Комитета НОПРИЗ по инженерным изысканиям, иных мероприятиях</w:t>
      </w:r>
      <w:r w:rsidR="00A458C1" w:rsidRPr="00A458C1">
        <w:rPr>
          <w:szCs w:val="24"/>
        </w:rPr>
        <w:t xml:space="preserve">, мероприятиях </w:t>
      </w:r>
      <w:proofErr w:type="spellStart"/>
      <w:r w:rsidR="00A458C1" w:rsidRPr="00A458C1">
        <w:rPr>
          <w:szCs w:val="24"/>
        </w:rPr>
        <w:t>Ростехнадзора</w:t>
      </w:r>
      <w:proofErr w:type="spellEnd"/>
      <w:r w:rsidR="00546E8A" w:rsidRPr="00A458C1">
        <w:rPr>
          <w:szCs w:val="24"/>
        </w:rPr>
        <w:t>.</w:t>
      </w:r>
      <w:r w:rsidR="00A458C1" w:rsidRPr="00A458C1">
        <w:rPr>
          <w:szCs w:val="24"/>
        </w:rPr>
        <w:t xml:space="preserve"> При содействии Ассоциации было организовано участие члена Совета Ассоциации в выборах в Совет НОПРИЗ, для чего готовились соответствующие информационные материалы.</w:t>
      </w:r>
    </w:p>
    <w:p w:rsidR="00546E8A" w:rsidRPr="00A458C1" w:rsidRDefault="00546E8A" w:rsidP="00DB549C">
      <w:pPr>
        <w:rPr>
          <w:szCs w:val="24"/>
        </w:rPr>
      </w:pPr>
      <w:r w:rsidRPr="00A458C1">
        <w:rPr>
          <w:szCs w:val="24"/>
        </w:rPr>
        <w:t xml:space="preserve">В целях информирования профессионального сообщества о деятельности Ассоциации проводился ряд мероприятий, в том числе обращение к юридическим лицам посредством направления писем и сообщений, а также рассылки информационных материалов. Также проводилась работа, направленная на повышение посещаемости сайта Ассоциации. Так, в составе указанной работы был проведен анализ поисковых запросов, на основании которого составлялись тексты к опубликованию на сайте. В результате проведенной работы по ряду популярных поисковых запросов сайт Ассоциации находился в числе первых десяти строк </w:t>
      </w:r>
      <w:r w:rsidRPr="00A458C1">
        <w:rPr>
          <w:szCs w:val="24"/>
          <w:lang w:val="en-US"/>
        </w:rPr>
        <w:t>SERP</w:t>
      </w:r>
      <w:r w:rsidRPr="00A458C1">
        <w:rPr>
          <w:szCs w:val="24"/>
        </w:rPr>
        <w:t xml:space="preserve"> (результатов поиска по релевантности</w:t>
      </w:r>
      <w:r w:rsidR="00A458C1" w:rsidRPr="00A458C1">
        <w:rPr>
          <w:szCs w:val="24"/>
        </w:rPr>
        <w:t>)</w:t>
      </w:r>
      <w:r w:rsidRPr="00A458C1">
        <w:rPr>
          <w:szCs w:val="24"/>
        </w:rPr>
        <w:t xml:space="preserve"> крупнейших поисковых систем.</w:t>
      </w:r>
      <w:r w:rsidR="00A458C1" w:rsidRPr="00A458C1">
        <w:rPr>
          <w:szCs w:val="24"/>
        </w:rPr>
        <w:t xml:space="preserve"> Отмечается, что указанный </w:t>
      </w:r>
      <w:proofErr w:type="gramStart"/>
      <w:r w:rsidR="00A458C1" w:rsidRPr="00A458C1">
        <w:rPr>
          <w:szCs w:val="24"/>
        </w:rPr>
        <w:t>результат</w:t>
      </w:r>
      <w:proofErr w:type="gramEnd"/>
      <w:r w:rsidR="00A458C1" w:rsidRPr="00A458C1">
        <w:rPr>
          <w:szCs w:val="24"/>
        </w:rPr>
        <w:t xml:space="preserve"> достигнут без привлечения специализированных организаций и без внесения какой-либо платы.</w:t>
      </w:r>
    </w:p>
    <w:p w:rsidR="00546E8A" w:rsidRPr="00A458C1" w:rsidRDefault="00546E8A" w:rsidP="00546E8A">
      <w:pPr>
        <w:rPr>
          <w:szCs w:val="24"/>
        </w:rPr>
      </w:pPr>
      <w:r w:rsidRPr="00A458C1">
        <w:rPr>
          <w:szCs w:val="24"/>
        </w:rPr>
        <w:t xml:space="preserve">В отчетном периоде работниками Ассоциации составлялись и направлялись </w:t>
      </w:r>
      <w:r w:rsidRPr="00A458C1">
        <w:rPr>
          <w:szCs w:val="24"/>
        </w:rPr>
        <w:t>в государственные органы</w:t>
      </w:r>
      <w:r w:rsidRPr="00A458C1">
        <w:rPr>
          <w:szCs w:val="24"/>
        </w:rPr>
        <w:t xml:space="preserve"> отзывы на законопроекты, а также обращения по наиболее сложным вопросам </w:t>
      </w:r>
      <w:proofErr w:type="spellStart"/>
      <w:r w:rsidRPr="00A458C1">
        <w:rPr>
          <w:szCs w:val="24"/>
        </w:rPr>
        <w:t>правоприменения</w:t>
      </w:r>
      <w:proofErr w:type="spellEnd"/>
      <w:r w:rsidRPr="00A458C1">
        <w:rPr>
          <w:szCs w:val="24"/>
        </w:rPr>
        <w:t xml:space="preserve"> в градостроительном законодательстве; проводился мониторинг и анализ ответов государственных органов на запросы по интересующим Ассоциацию вопросам от третьих лиц. Также Ассоциация</w:t>
      </w:r>
      <w:r w:rsidR="00A458C1" w:rsidRPr="00A458C1">
        <w:rPr>
          <w:szCs w:val="24"/>
        </w:rPr>
        <w:t xml:space="preserve"> самостоятельно рассматривала обращения от ее членов и сообщала свое мнение по вопросам применения законодательства о градостроительной деятельности. </w:t>
      </w:r>
    </w:p>
    <w:p w:rsidR="00546E8A" w:rsidRPr="00A458C1" w:rsidRDefault="00546E8A" w:rsidP="00546E8A">
      <w:pPr>
        <w:rPr>
          <w:szCs w:val="24"/>
        </w:rPr>
      </w:pPr>
    </w:p>
    <w:sectPr w:rsidR="00546E8A" w:rsidRPr="00A458C1" w:rsidSect="00C068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76C9E"/>
    <w:rsid w:val="0026118A"/>
    <w:rsid w:val="003023AA"/>
    <w:rsid w:val="003C419C"/>
    <w:rsid w:val="00482CBE"/>
    <w:rsid w:val="00546327"/>
    <w:rsid w:val="00546E8A"/>
    <w:rsid w:val="0073485B"/>
    <w:rsid w:val="008A1538"/>
    <w:rsid w:val="00905C0B"/>
    <w:rsid w:val="009A46F6"/>
    <w:rsid w:val="00A458C1"/>
    <w:rsid w:val="00B765F7"/>
    <w:rsid w:val="00BA1546"/>
    <w:rsid w:val="00C06850"/>
    <w:rsid w:val="00DB549C"/>
    <w:rsid w:val="00DD3885"/>
    <w:rsid w:val="00DE1FEE"/>
    <w:rsid w:val="00E525BD"/>
    <w:rsid w:val="00E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3</cp:revision>
  <cp:lastPrinted>2018-04-05T14:29:00Z</cp:lastPrinted>
  <dcterms:created xsi:type="dcterms:W3CDTF">2018-04-05T11:58:00Z</dcterms:created>
  <dcterms:modified xsi:type="dcterms:W3CDTF">2018-04-05T15:25:00Z</dcterms:modified>
</cp:coreProperties>
</file>