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RPr="00262325" w:rsidTr="00220556">
        <w:tc>
          <w:tcPr>
            <w:tcW w:w="4891" w:type="dxa"/>
          </w:tcPr>
          <w:p w:rsidR="007E5EF1" w:rsidRPr="00262325" w:rsidRDefault="009715F1" w:rsidP="009715F1">
            <w:pPr>
              <w:ind w:firstLine="34"/>
              <w:rPr>
                <w:sz w:val="22"/>
              </w:rPr>
            </w:pPr>
            <w:r w:rsidRPr="00262325">
              <w:rPr>
                <w:b/>
                <w:i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262325" w:rsidRDefault="00DA0021" w:rsidP="00F34280">
            <w:pPr>
              <w:tabs>
                <w:tab w:val="left" w:pos="4782"/>
              </w:tabs>
              <w:ind w:right="34"/>
              <w:jc w:val="right"/>
              <w:rPr>
                <w:b/>
                <w:sz w:val="22"/>
              </w:rPr>
            </w:pPr>
            <w:bookmarkStart w:id="0" w:name="дата_приказа"/>
            <w:bookmarkEnd w:id="0"/>
            <w:r w:rsidRPr="00262325">
              <w:rPr>
                <w:b/>
                <w:sz w:val="22"/>
              </w:rPr>
              <w:t>14.09.2020</w:t>
            </w:r>
            <w:r w:rsidR="00220556" w:rsidRPr="00262325">
              <w:rPr>
                <w:b/>
                <w:sz w:val="22"/>
              </w:rPr>
              <w:t xml:space="preserve"> г.</w:t>
            </w:r>
          </w:p>
        </w:tc>
      </w:tr>
    </w:tbl>
    <w:p w:rsidR="006E1D27" w:rsidRPr="00262325" w:rsidRDefault="006E1D27" w:rsidP="007E5EF1">
      <w:pPr>
        <w:spacing w:line="276" w:lineRule="auto"/>
        <w:ind w:hanging="284"/>
        <w:jc w:val="center"/>
        <w:rPr>
          <w:b/>
          <w:szCs w:val="28"/>
        </w:rPr>
      </w:pPr>
    </w:p>
    <w:p w:rsidR="007E5EF1" w:rsidRPr="00262325" w:rsidRDefault="00220556" w:rsidP="007E5EF1">
      <w:pPr>
        <w:spacing w:line="276" w:lineRule="auto"/>
        <w:ind w:hanging="284"/>
        <w:jc w:val="center"/>
        <w:rPr>
          <w:b/>
          <w:szCs w:val="28"/>
        </w:rPr>
      </w:pPr>
      <w:r w:rsidRPr="00262325">
        <w:rPr>
          <w:b/>
          <w:szCs w:val="28"/>
        </w:rPr>
        <w:t>ПРИКАЗ</w:t>
      </w:r>
      <w:r w:rsidR="007E5EF1" w:rsidRPr="00262325">
        <w:rPr>
          <w:b/>
          <w:szCs w:val="28"/>
        </w:rPr>
        <w:t xml:space="preserve"> №</w:t>
      </w:r>
      <w:r w:rsidR="005D034D" w:rsidRPr="00262325">
        <w:rPr>
          <w:b/>
          <w:szCs w:val="28"/>
        </w:rPr>
        <w:t xml:space="preserve"> </w:t>
      </w:r>
      <w:bookmarkStart w:id="1" w:name="номер_приказа"/>
      <w:bookmarkEnd w:id="1"/>
      <w:r w:rsidR="00DA0021" w:rsidRPr="00262325">
        <w:rPr>
          <w:b/>
          <w:szCs w:val="28"/>
        </w:rPr>
        <w:t>138</w:t>
      </w:r>
      <w:r w:rsidR="00336999" w:rsidRPr="00262325">
        <w:rPr>
          <w:b/>
          <w:szCs w:val="28"/>
        </w:rPr>
        <w:t>-ВИ</w:t>
      </w:r>
    </w:p>
    <w:p w:rsidR="007E5EF1" w:rsidRPr="00262325" w:rsidRDefault="007E5EF1" w:rsidP="00336999">
      <w:pPr>
        <w:spacing w:line="288" w:lineRule="auto"/>
        <w:ind w:hanging="284"/>
        <w:rPr>
          <w:sz w:val="22"/>
        </w:rPr>
      </w:pPr>
    </w:p>
    <w:p w:rsidR="00D463B2" w:rsidRPr="00262325" w:rsidRDefault="00DA0021" w:rsidP="00D463B2">
      <w:pPr>
        <w:spacing w:line="288" w:lineRule="auto"/>
        <w:ind w:firstLine="567"/>
        <w:jc w:val="both"/>
        <w:rPr>
          <w:sz w:val="22"/>
        </w:rPr>
      </w:pPr>
      <w:bookmarkStart w:id="2" w:name="основание"/>
      <w:bookmarkEnd w:id="2"/>
      <w:r w:rsidRPr="00262325">
        <w:rPr>
          <w:sz w:val="22"/>
        </w:rP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 w:rsidRPr="00262325">
        <w:rPr>
          <w:sz w:val="22"/>
        </w:rPr>
        <w:t>:</w:t>
      </w:r>
    </w:p>
    <w:p w:rsidR="00D463B2" w:rsidRPr="00262325" w:rsidRDefault="00D463B2" w:rsidP="00D463B2">
      <w:pPr>
        <w:spacing w:line="288" w:lineRule="auto"/>
        <w:ind w:firstLine="567"/>
        <w:jc w:val="both"/>
        <w:rPr>
          <w:sz w:val="22"/>
        </w:rPr>
      </w:pPr>
    </w:p>
    <w:p w:rsidR="00D463B2" w:rsidRPr="00262325" w:rsidRDefault="00D463B2" w:rsidP="00D463B2">
      <w:pPr>
        <w:spacing w:line="288" w:lineRule="auto"/>
        <w:ind w:firstLine="567"/>
        <w:jc w:val="both"/>
        <w:rPr>
          <w:sz w:val="22"/>
        </w:rPr>
      </w:pPr>
      <w:r w:rsidRPr="00262325">
        <w:rPr>
          <w:sz w:val="22"/>
        </w:rPr>
        <w:t>ПРИКАЗЫВАЮ</w:t>
      </w:r>
    </w:p>
    <w:p w:rsidR="00D463B2" w:rsidRPr="00262325" w:rsidRDefault="00D463B2" w:rsidP="00D463B2">
      <w:pPr>
        <w:spacing w:line="288" w:lineRule="auto"/>
        <w:ind w:firstLine="567"/>
        <w:jc w:val="both"/>
        <w:rPr>
          <w:sz w:val="22"/>
        </w:rPr>
      </w:pPr>
    </w:p>
    <w:p w:rsidR="00D463B2" w:rsidRPr="00262325" w:rsidRDefault="00DA0021" w:rsidP="00D463B2">
      <w:pPr>
        <w:tabs>
          <w:tab w:val="left" w:pos="7743"/>
        </w:tabs>
        <w:ind w:right="-2" w:firstLine="567"/>
        <w:jc w:val="both"/>
        <w:rPr>
          <w:sz w:val="22"/>
        </w:rPr>
      </w:pPr>
      <w:r w:rsidRPr="00262325">
        <w:rPr>
          <w:sz w:val="22"/>
        </w:rPr>
        <w:t>Внести в реестр членов Ассоциации в отношен</w:t>
      </w:r>
      <w:proofErr w:type="gramStart"/>
      <w:r w:rsidRPr="00262325">
        <w:rPr>
          <w:sz w:val="22"/>
        </w:rPr>
        <w:t>ии ООО</w:t>
      </w:r>
      <w:proofErr w:type="gramEnd"/>
      <w:r w:rsidRPr="00262325">
        <w:rPr>
          <w:sz w:val="22"/>
        </w:rPr>
        <w:t xml:space="preserve"> «НИП «</w:t>
      </w:r>
      <w:proofErr w:type="spellStart"/>
      <w:r w:rsidRPr="00262325">
        <w:rPr>
          <w:sz w:val="22"/>
        </w:rPr>
        <w:t>ЭнергоГаз</w:t>
      </w:r>
      <w:proofErr w:type="spellEnd"/>
      <w:r w:rsidRPr="00262325">
        <w:rPr>
          <w:sz w:val="22"/>
        </w:rPr>
        <w:t>» (ИНН 5003102360), номер в реестре членов Ассоциации - 367</w:t>
      </w:r>
      <w:r w:rsidR="00D463B2" w:rsidRPr="00262325">
        <w:rPr>
          <w:sz w:val="22"/>
        </w:rPr>
        <w:t>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A0021" w:rsidTr="00DA0021">
        <w:tc>
          <w:tcPr>
            <w:tcW w:w="4855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A0021" w:rsidTr="00DA0021">
        <w:tc>
          <w:tcPr>
            <w:tcW w:w="4855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DA0021" w:rsidTr="00DA0021">
        <w:tc>
          <w:tcPr>
            <w:tcW w:w="4855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DA0021" w:rsidTr="00DA0021">
        <w:tc>
          <w:tcPr>
            <w:tcW w:w="4855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DA0021" w:rsidRPr="00262325" w:rsidRDefault="00DA0021" w:rsidP="00B55FC1">
      <w:pPr>
        <w:spacing w:line="288" w:lineRule="auto"/>
        <w:ind w:firstLine="567"/>
        <w:jc w:val="both"/>
        <w:rPr>
          <w:sz w:val="22"/>
        </w:rPr>
      </w:pPr>
      <w:r w:rsidRPr="00262325">
        <w:rPr>
          <w:sz w:val="22"/>
        </w:rPr>
        <w:t>Внести в реестр членов Ассоциации в отношен</w:t>
      </w:r>
      <w:proofErr w:type="gramStart"/>
      <w:r w:rsidRPr="00262325">
        <w:rPr>
          <w:sz w:val="22"/>
        </w:rPr>
        <w:t>ии ООО</w:t>
      </w:r>
      <w:proofErr w:type="gramEnd"/>
      <w:r w:rsidRPr="00262325">
        <w:rPr>
          <w:sz w:val="22"/>
        </w:rPr>
        <w:t xml:space="preserve"> «Глобал АФС» (ИНН 7727368801), номер в реестре членов Ассоциации - 310: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A0021" w:rsidTr="00DA0021">
        <w:tc>
          <w:tcPr>
            <w:tcW w:w="4855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A0021" w:rsidTr="00DA0021">
        <w:tc>
          <w:tcPr>
            <w:tcW w:w="4855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Чудновская</w:t>
            </w:r>
            <w:proofErr w:type="spellEnd"/>
            <w:r>
              <w:rPr>
                <w:sz w:val="16"/>
              </w:rPr>
              <w:t xml:space="preserve"> Елена Юрьевна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DA0021" w:rsidRPr="00262325" w:rsidRDefault="00DA0021" w:rsidP="00B55FC1">
      <w:pPr>
        <w:spacing w:line="288" w:lineRule="auto"/>
        <w:ind w:firstLine="567"/>
        <w:jc w:val="both"/>
        <w:rPr>
          <w:sz w:val="22"/>
        </w:rPr>
      </w:pPr>
      <w:bookmarkStart w:id="3" w:name="приказание"/>
      <w:bookmarkEnd w:id="3"/>
      <w:r w:rsidRPr="00262325">
        <w:rPr>
          <w:sz w:val="22"/>
        </w:rPr>
        <w:t xml:space="preserve">Внести в реестр членов Ассоциации в отношении ФГАОУ </w:t>
      </w:r>
      <w:proofErr w:type="gramStart"/>
      <w:r w:rsidRPr="00262325">
        <w:rPr>
          <w:sz w:val="22"/>
        </w:rPr>
        <w:t>ВО</w:t>
      </w:r>
      <w:proofErr w:type="gramEnd"/>
      <w:r w:rsidRPr="00262325">
        <w:rPr>
          <w:sz w:val="22"/>
        </w:rPr>
        <w:t xml:space="preserve"> «Дальневосточный федеральный университет», Дальневосточный федеральный университет, ФГАОУ ВО ДВФУ, ДВФУ (ИНН 2536014538), номер в реестре членов Ассоциации - 263: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A0021" w:rsidTr="00DA0021">
        <w:tc>
          <w:tcPr>
            <w:tcW w:w="4855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A0021" w:rsidTr="00DA0021">
        <w:tc>
          <w:tcPr>
            <w:tcW w:w="4855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sz w:val="16"/>
              </w:rPr>
            </w:pPr>
            <w:bookmarkStart w:id="5" w:name="_GoBack"/>
            <w:bookmarkEnd w:id="5"/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DA0021" w:rsidRPr="00DA0021" w:rsidRDefault="00DA0021" w:rsidP="00DA002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690922, РФ, Приморский край, г. Владивосток, остров Русский, поселок Аякс, д. 10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5D56ED" w:rsidRPr="00262325" w:rsidRDefault="005D56ED" w:rsidP="00B55FC1">
      <w:pPr>
        <w:spacing w:line="288" w:lineRule="auto"/>
        <w:ind w:firstLine="567"/>
        <w:jc w:val="both"/>
        <w:rPr>
          <w:sz w:val="22"/>
        </w:rPr>
      </w:pPr>
    </w:p>
    <w:p w:rsidR="00EC3866" w:rsidRPr="00262325" w:rsidRDefault="00B806BA" w:rsidP="003913A6">
      <w:pPr>
        <w:spacing w:line="288" w:lineRule="auto"/>
        <w:rPr>
          <w:sz w:val="22"/>
        </w:rPr>
      </w:pPr>
      <w:r w:rsidRPr="00262325">
        <w:rPr>
          <w:sz w:val="22"/>
        </w:rPr>
        <w:t>Г</w:t>
      </w:r>
      <w:r w:rsidR="007B77BF" w:rsidRPr="00262325">
        <w:rPr>
          <w:sz w:val="22"/>
        </w:rPr>
        <w:t>енеральн</w:t>
      </w:r>
      <w:r w:rsidRPr="00262325">
        <w:rPr>
          <w:sz w:val="22"/>
        </w:rPr>
        <w:t>ый</w:t>
      </w:r>
      <w:r w:rsidR="007B77BF" w:rsidRPr="00262325">
        <w:rPr>
          <w:sz w:val="22"/>
        </w:rPr>
        <w:t xml:space="preserve"> директор</w:t>
      </w:r>
      <w:r w:rsidR="00C12D76" w:rsidRPr="00262325">
        <w:rPr>
          <w:sz w:val="22"/>
        </w:rPr>
        <w:t xml:space="preserve">                 </w:t>
      </w:r>
      <w:r w:rsidR="003913A6" w:rsidRPr="00262325">
        <w:rPr>
          <w:sz w:val="22"/>
        </w:rPr>
        <w:t xml:space="preserve">      </w:t>
      </w:r>
      <w:bookmarkStart w:id="6" w:name="sign"/>
      <w:bookmarkEnd w:id="6"/>
      <w:r w:rsidR="003913A6" w:rsidRPr="00262325">
        <w:rPr>
          <w:sz w:val="22"/>
        </w:rPr>
        <w:t xml:space="preserve">                  </w:t>
      </w:r>
      <w:r w:rsidR="00C12D76" w:rsidRPr="00262325">
        <w:rPr>
          <w:sz w:val="22"/>
        </w:rPr>
        <w:t xml:space="preserve">                                                          А.</w:t>
      </w:r>
      <w:r w:rsidR="007B77BF" w:rsidRPr="00262325">
        <w:rPr>
          <w:sz w:val="22"/>
        </w:rPr>
        <w:t>А</w:t>
      </w:r>
      <w:r w:rsidR="00C12D76" w:rsidRPr="00262325">
        <w:rPr>
          <w:sz w:val="22"/>
        </w:rPr>
        <w:t xml:space="preserve">. </w:t>
      </w:r>
      <w:r w:rsidR="007B77BF" w:rsidRPr="00262325">
        <w:rPr>
          <w:sz w:val="22"/>
        </w:rPr>
        <w:t>Ходус</w:t>
      </w:r>
    </w:p>
    <w:p w:rsidR="00DE44CE" w:rsidRPr="00262325" w:rsidRDefault="00DE44CE" w:rsidP="003913A6">
      <w:pPr>
        <w:spacing w:line="288" w:lineRule="auto"/>
      </w:pPr>
    </w:p>
    <w:sectPr w:rsidR="00DE44CE" w:rsidRPr="00262325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232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0021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D3C3-B0E3-43C5-8FDB-C41DA51A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2020-09-14T11:30:00Z</cp:lastPrinted>
  <dcterms:created xsi:type="dcterms:W3CDTF">2020-09-14T11:25:00Z</dcterms:created>
  <dcterms:modified xsi:type="dcterms:W3CDTF">2020-09-14T11:30:00Z</dcterms:modified>
</cp:coreProperties>
</file>