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318"/>
        <w:gridCol w:w="1916"/>
        <w:gridCol w:w="8115"/>
        <w:gridCol w:w="142"/>
      </w:tblGrid>
      <w:tr w:rsidR="00EC3866" w:rsidTr="008917B2">
        <w:trPr>
          <w:trHeight w:val="1134"/>
        </w:trPr>
        <w:tc>
          <w:tcPr>
            <w:tcW w:w="2234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2B1E11" w:rsidP="00641634">
            <w:pPr>
              <w:pStyle w:val="a3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19C040CA" wp14:editId="7F823E66">
                  <wp:extent cx="658495" cy="65849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7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Pr="007C185F" w:rsidRDefault="00CE5CA9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185F">
              <w:rPr>
                <w:rFonts w:ascii="Arial Narrow" w:hAnsi="Arial Narrow" w:cs="Arial"/>
                <w:b/>
                <w:sz w:val="20"/>
                <w:szCs w:val="20"/>
              </w:rPr>
              <w:t>Ассоциация</w:t>
            </w:r>
            <w:r w:rsidR="00641634" w:rsidRPr="007C185F">
              <w:rPr>
                <w:rFonts w:ascii="Arial Narrow" w:hAnsi="Arial Narrow" w:cs="Arial"/>
                <w:b/>
                <w:sz w:val="20"/>
                <w:szCs w:val="20"/>
              </w:rPr>
              <w:t xml:space="preserve"> саморегулируемая организация</w:t>
            </w:r>
          </w:p>
          <w:p w:rsidR="00641634" w:rsidRPr="007C185F" w:rsidRDefault="00EC3866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185F">
              <w:rPr>
                <w:rFonts w:ascii="Arial Narrow" w:hAnsi="Arial Narrow" w:cs="Arial"/>
                <w:b/>
                <w:sz w:val="20"/>
                <w:szCs w:val="20"/>
              </w:rPr>
              <w:t>«Объединение изыскателей для проектирования и строительства объектов топливно-энергетического комплекса</w:t>
            </w:r>
          </w:p>
          <w:p w:rsidR="009A40A7" w:rsidRPr="009A40A7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7C185F">
              <w:rPr>
                <w:rFonts w:ascii="Arial Narrow" w:hAnsi="Arial Narrow" w:cs="Arial"/>
                <w:b/>
                <w:sz w:val="20"/>
                <w:szCs w:val="20"/>
              </w:rPr>
              <w:t>«Нефтегазизыскания-Альянс»</w:t>
            </w:r>
          </w:p>
        </w:tc>
      </w:tr>
      <w:tr w:rsidR="00EC3866" w:rsidRPr="00BE4D1F" w:rsidTr="008917B2">
        <w:tc>
          <w:tcPr>
            <w:tcW w:w="10491" w:type="dxa"/>
            <w:gridSpan w:val="4"/>
            <w:tcBorders>
              <w:top w:val="single" w:sz="18" w:space="0" w:color="FFC000"/>
            </w:tcBorders>
          </w:tcPr>
          <w:p w:rsidR="00EC3866" w:rsidRPr="00A11A3D" w:rsidRDefault="00FA10E0" w:rsidP="00AF30EE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A11A3D">
              <w:rPr>
                <w:rFonts w:ascii="Arial Narrow" w:hAnsi="Arial Narrow" w:cs="Arial"/>
                <w:sz w:val="16"/>
                <w:szCs w:val="16"/>
              </w:rPr>
              <w:t>Российская Федерация, 107045, Москва, Ананьевский переулок, д.5</w:t>
            </w:r>
            <w:r w:rsidR="001D4A53" w:rsidRPr="00A11A3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 стр.3</w:t>
            </w:r>
            <w:r w:rsidR="000C50B5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т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ел.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(495)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608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75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ф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акс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995-01-2</w:t>
            </w:r>
            <w:r w:rsidR="006F2572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http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://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www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ngia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ru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/>
                <w:sz w:val="16"/>
                <w:szCs w:val="16"/>
                <w:lang w:val="en-US"/>
              </w:rPr>
              <w:t>mail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: </w:t>
            </w:r>
            <w:hyperlink r:id="rId9" w:history="1"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@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np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ngia</w:t>
              </w:r>
              <w:proofErr w:type="spellEnd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.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</w:tr>
      <w:tr w:rsidR="00515BA0" w:rsidRPr="002C5141" w:rsidTr="0089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8" w:type="dxa"/>
          <w:wAfter w:w="142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1D" w:rsidRPr="002C5141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20"/>
                <w:szCs w:val="20"/>
              </w:rPr>
            </w:pPr>
          </w:p>
          <w:p w:rsidR="00506C1D" w:rsidRPr="002C5141" w:rsidRDefault="008917B2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Дисциплинарная комиссия</w:t>
            </w:r>
          </w:p>
          <w:p w:rsidR="00506C1D" w:rsidRPr="002C5141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20"/>
                <w:szCs w:val="20"/>
              </w:rPr>
            </w:pPr>
          </w:p>
          <w:p w:rsidR="00506C1D" w:rsidRPr="002C5141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20"/>
                <w:szCs w:val="20"/>
              </w:rPr>
            </w:pPr>
          </w:p>
          <w:p w:rsidR="00515BA0" w:rsidRPr="002C5141" w:rsidRDefault="00DF41D9" w:rsidP="0089483A">
            <w:pPr>
              <w:tabs>
                <w:tab w:val="left" w:pos="9921"/>
              </w:tabs>
              <w:ind w:right="-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Протокол заседания</w:t>
            </w:r>
          </w:p>
        </w:tc>
      </w:tr>
    </w:tbl>
    <w:p w:rsidR="00515BA0" w:rsidRPr="002C5141" w:rsidRDefault="00515BA0" w:rsidP="00515BA0">
      <w:pPr>
        <w:spacing w:line="288" w:lineRule="auto"/>
        <w:rPr>
          <w:sz w:val="20"/>
          <w:szCs w:val="20"/>
        </w:rPr>
      </w:pPr>
      <w:r w:rsidRPr="002C5141">
        <w:rPr>
          <w:sz w:val="20"/>
          <w:szCs w:val="20"/>
        </w:rPr>
        <w:t xml:space="preserve">г. Москва                                                                                                                                           </w:t>
      </w:r>
      <w:r w:rsidR="008917B2">
        <w:rPr>
          <w:sz w:val="20"/>
          <w:szCs w:val="20"/>
        </w:rPr>
        <w:t xml:space="preserve">                  </w:t>
      </w:r>
      <w:r w:rsidRPr="002C5141">
        <w:rPr>
          <w:sz w:val="20"/>
          <w:szCs w:val="20"/>
        </w:rPr>
        <w:t xml:space="preserve">      </w:t>
      </w:r>
      <w:r w:rsidR="000A08D4">
        <w:rPr>
          <w:sz w:val="20"/>
          <w:szCs w:val="20"/>
        </w:rPr>
        <w:t>08.02.2021</w:t>
      </w:r>
    </w:p>
    <w:p w:rsidR="00515BA0" w:rsidRPr="002C5141" w:rsidRDefault="00515BA0" w:rsidP="00515BA0">
      <w:pPr>
        <w:spacing w:line="288" w:lineRule="auto"/>
        <w:ind w:hanging="284"/>
        <w:rPr>
          <w:sz w:val="20"/>
          <w:szCs w:val="20"/>
        </w:rPr>
      </w:pPr>
    </w:p>
    <w:p w:rsidR="00515BA0" w:rsidRDefault="00DF41D9" w:rsidP="00515BA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Дисциплинарная</w:t>
      </w:r>
      <w:r w:rsidR="00515BA0" w:rsidRPr="002C5141">
        <w:rPr>
          <w:sz w:val="20"/>
          <w:szCs w:val="20"/>
        </w:rPr>
        <w:t xml:space="preserve"> комиссия Ассоциации СРО «Нефтега</w:t>
      </w:r>
      <w:r w:rsidR="00E35D58" w:rsidRPr="002C5141">
        <w:rPr>
          <w:sz w:val="20"/>
          <w:szCs w:val="20"/>
        </w:rPr>
        <w:t>зизыскания</w:t>
      </w:r>
      <w:r w:rsidR="00F55699">
        <w:rPr>
          <w:sz w:val="20"/>
          <w:szCs w:val="20"/>
        </w:rPr>
        <w:t>-Альянс»</w:t>
      </w:r>
      <w:r w:rsidR="009F7865">
        <w:rPr>
          <w:sz w:val="20"/>
          <w:szCs w:val="20"/>
        </w:rPr>
        <w:t xml:space="preserve"> (далее - Комиссия)</w:t>
      </w:r>
      <w:r w:rsidR="00F55699">
        <w:rPr>
          <w:sz w:val="20"/>
          <w:szCs w:val="20"/>
        </w:rPr>
        <w:t xml:space="preserve">, </w:t>
      </w:r>
      <w:r w:rsidR="009F7865">
        <w:rPr>
          <w:sz w:val="20"/>
          <w:szCs w:val="20"/>
        </w:rPr>
        <w:t xml:space="preserve">в составе Председателя Комиссии </w:t>
      </w:r>
      <w:proofErr w:type="spellStart"/>
      <w:r w:rsidR="009F7865">
        <w:rPr>
          <w:sz w:val="20"/>
          <w:szCs w:val="20"/>
        </w:rPr>
        <w:t>Горькова</w:t>
      </w:r>
      <w:proofErr w:type="spellEnd"/>
      <w:r w:rsidR="009F7865">
        <w:rPr>
          <w:sz w:val="20"/>
          <w:szCs w:val="20"/>
        </w:rPr>
        <w:t xml:space="preserve"> Игоря Ивановича, членов Комисси</w:t>
      </w:r>
      <w:r w:rsidR="00477644">
        <w:rPr>
          <w:sz w:val="20"/>
          <w:szCs w:val="20"/>
        </w:rPr>
        <w:t xml:space="preserve">и </w:t>
      </w:r>
      <w:proofErr w:type="spellStart"/>
      <w:r w:rsidR="00477644">
        <w:rPr>
          <w:sz w:val="20"/>
          <w:szCs w:val="20"/>
        </w:rPr>
        <w:t>Ходуса</w:t>
      </w:r>
      <w:proofErr w:type="spellEnd"/>
      <w:r w:rsidR="00477644">
        <w:rPr>
          <w:sz w:val="20"/>
          <w:szCs w:val="20"/>
        </w:rPr>
        <w:t xml:space="preserve"> Андрея Александровича</w:t>
      </w:r>
      <w:r w:rsidR="00B75855">
        <w:rPr>
          <w:sz w:val="20"/>
          <w:szCs w:val="20"/>
        </w:rPr>
        <w:t>,</w:t>
      </w:r>
    </w:p>
    <w:p w:rsidR="00F55699" w:rsidRPr="002C5141" w:rsidRDefault="00F55699" w:rsidP="00515BA0">
      <w:pPr>
        <w:spacing w:line="288" w:lineRule="auto"/>
        <w:ind w:firstLine="567"/>
        <w:jc w:val="both"/>
        <w:rPr>
          <w:sz w:val="20"/>
          <w:szCs w:val="20"/>
        </w:rPr>
      </w:pPr>
    </w:p>
    <w:p w:rsidR="003A2D65" w:rsidRDefault="00B75855" w:rsidP="003A2D65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рассмотрев в заседании поступившие в</w:t>
      </w:r>
      <w:bookmarkStart w:id="0" w:name="_GoBack"/>
      <w:bookmarkEnd w:id="0"/>
      <w:r>
        <w:rPr>
          <w:sz w:val="20"/>
          <w:szCs w:val="20"/>
        </w:rPr>
        <w:t xml:space="preserve"> Комиссию материалы внеплановой проверки членов Ассоциации – акт внеплановой проверки от 29.12.2020, содержащий сведения о </w:t>
      </w:r>
      <w:r w:rsidR="003A2D65">
        <w:rPr>
          <w:sz w:val="20"/>
          <w:szCs w:val="20"/>
        </w:rPr>
        <w:t>выявленных нарушениях членами Ассоциации требований внутренних документов Ассоциации, установила:</w:t>
      </w:r>
    </w:p>
    <w:p w:rsidR="003A2D65" w:rsidRDefault="003A2D65" w:rsidP="003A2D65">
      <w:pPr>
        <w:spacing w:line="288" w:lineRule="auto"/>
        <w:ind w:firstLine="567"/>
        <w:jc w:val="both"/>
        <w:rPr>
          <w:sz w:val="20"/>
          <w:szCs w:val="20"/>
        </w:rPr>
      </w:pPr>
    </w:p>
    <w:p w:rsidR="003A2D65" w:rsidRDefault="003A2D65" w:rsidP="003A2D65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Члены Ассоциации </w:t>
      </w:r>
    </w:p>
    <w:p w:rsidR="003A2D65" w:rsidRDefault="003A2D65" w:rsidP="00515BA0">
      <w:pPr>
        <w:spacing w:line="288" w:lineRule="auto"/>
        <w:ind w:firstLine="567"/>
        <w:jc w:val="both"/>
        <w:rPr>
          <w:sz w:val="20"/>
          <w:szCs w:val="20"/>
        </w:rPr>
      </w:pPr>
    </w:p>
    <w:tbl>
      <w:tblPr>
        <w:tblStyle w:val="a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A2D65" w:rsidRPr="005F29A3" w:rsidTr="003A2D65">
        <w:tc>
          <w:tcPr>
            <w:tcW w:w="9923" w:type="dxa"/>
            <w:shd w:val="clear" w:color="auto" w:fill="auto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««</w:t>
            </w:r>
            <w:proofErr w:type="spellStart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Дорнефтегаз</w:t>
            </w:r>
            <w:proofErr w:type="spellEnd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» ИНН  6658007609, № 21 в реестре членов;</w:t>
            </w:r>
          </w:p>
        </w:tc>
      </w:tr>
      <w:tr w:rsidR="003A2D65" w:rsidRPr="005F29A3" w:rsidTr="003A2D65">
        <w:tc>
          <w:tcPr>
            <w:tcW w:w="9923" w:type="dxa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ЗаказСтрой</w:t>
            </w:r>
            <w:proofErr w:type="spellEnd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» ИНН  7713638053, № 129 в реестре членов;</w:t>
            </w:r>
          </w:p>
        </w:tc>
      </w:tr>
      <w:tr w:rsidR="003A2D65" w:rsidRPr="005F29A3" w:rsidTr="003A2D65">
        <w:tc>
          <w:tcPr>
            <w:tcW w:w="9923" w:type="dxa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Геосъемка</w:t>
            </w:r>
            <w:proofErr w:type="spellEnd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» ИНН  5902827052, № 156 в реестре членов;</w:t>
            </w:r>
          </w:p>
        </w:tc>
      </w:tr>
      <w:tr w:rsidR="003A2D65" w:rsidRPr="005F29A3" w:rsidTr="003A2D65">
        <w:tc>
          <w:tcPr>
            <w:tcW w:w="9923" w:type="dxa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«ТЕЛ МТК» ИНН  7714342877, № 161 в реестре членов;</w:t>
            </w:r>
          </w:p>
        </w:tc>
      </w:tr>
      <w:tr w:rsidR="003A2D65" w:rsidRPr="005F29A3" w:rsidTr="003A2D65">
        <w:tc>
          <w:tcPr>
            <w:tcW w:w="9923" w:type="dxa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«Земельно-кадастровая Корпорация» ИНН 8602137568, № 162 в реестре членов;</w:t>
            </w:r>
          </w:p>
        </w:tc>
      </w:tr>
      <w:tr w:rsidR="003A2D65" w:rsidRPr="005F29A3" w:rsidTr="003A2D65">
        <w:tc>
          <w:tcPr>
            <w:tcW w:w="9923" w:type="dxa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«Научно-производственная фирма </w:t>
            </w:r>
            <w:proofErr w:type="spellStart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АвтоМост</w:t>
            </w:r>
            <w:proofErr w:type="spellEnd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» ИНН 2901101456, №173 в реестре членов;</w:t>
            </w:r>
          </w:p>
        </w:tc>
      </w:tr>
      <w:tr w:rsidR="003A2D65" w:rsidRPr="005F29A3" w:rsidTr="003A2D65">
        <w:tc>
          <w:tcPr>
            <w:tcW w:w="9923" w:type="dxa"/>
            <w:shd w:val="clear" w:color="auto" w:fill="auto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ВолгоградТрансСтройПроект</w:t>
            </w:r>
            <w:proofErr w:type="spellEnd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» ИНН 3459009701, № 203 в реестре членов;</w:t>
            </w:r>
          </w:p>
        </w:tc>
      </w:tr>
      <w:tr w:rsidR="003A2D65" w:rsidRPr="005F29A3" w:rsidTr="003A2D65">
        <w:tc>
          <w:tcPr>
            <w:tcW w:w="9923" w:type="dxa"/>
            <w:shd w:val="clear" w:color="auto" w:fill="auto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«ТТС-ЭНЕРГО» ИНН 7716810993, № 213 в реестре членов;</w:t>
            </w:r>
          </w:p>
        </w:tc>
      </w:tr>
      <w:tr w:rsidR="003A2D65" w:rsidRPr="005F29A3" w:rsidTr="003A2D65">
        <w:tc>
          <w:tcPr>
            <w:tcW w:w="9923" w:type="dxa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«Экспертно-Инжиниринговая Компания» ИНН 7726514792, № 218 в реестре членов;</w:t>
            </w:r>
          </w:p>
        </w:tc>
      </w:tr>
      <w:tr w:rsidR="003A2D65" w:rsidRPr="005F29A3" w:rsidTr="003A2D65">
        <w:tc>
          <w:tcPr>
            <w:tcW w:w="9923" w:type="dxa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ЭнергоСтрой</w:t>
            </w:r>
            <w:proofErr w:type="spellEnd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» ИНН  7701649861, № 226 в реестре членов.</w:t>
            </w:r>
          </w:p>
        </w:tc>
      </w:tr>
    </w:tbl>
    <w:p w:rsidR="003A2D65" w:rsidRDefault="003A2D65" w:rsidP="00515BA0">
      <w:pPr>
        <w:spacing w:line="288" w:lineRule="auto"/>
        <w:ind w:firstLine="567"/>
        <w:jc w:val="both"/>
        <w:rPr>
          <w:sz w:val="20"/>
          <w:szCs w:val="20"/>
        </w:rPr>
      </w:pPr>
    </w:p>
    <w:p w:rsidR="003A2D65" w:rsidRDefault="003A2D65" w:rsidP="00515BA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допустили нарушения требований внутреннего документа – Положения о членстве Ассоциации (далее - Положение), а именно:</w:t>
      </w:r>
    </w:p>
    <w:p w:rsidR="003A2D65" w:rsidRDefault="003A2D65" w:rsidP="00515BA0">
      <w:pPr>
        <w:spacing w:line="288" w:lineRule="auto"/>
        <w:ind w:firstLine="567"/>
        <w:jc w:val="both"/>
        <w:rPr>
          <w:sz w:val="20"/>
          <w:szCs w:val="20"/>
        </w:rPr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534"/>
        <w:gridCol w:w="3402"/>
        <w:gridCol w:w="6095"/>
      </w:tblGrid>
      <w:tr w:rsidR="003A2D65" w:rsidRPr="002C5141" w:rsidTr="0031486B">
        <w:tc>
          <w:tcPr>
            <w:tcW w:w="534" w:type="dxa"/>
            <w:vAlign w:val="center"/>
          </w:tcPr>
          <w:p w:rsidR="003A2D65" w:rsidRPr="002C5141" w:rsidRDefault="009C48C0" w:rsidP="00370EFD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402" w:type="dxa"/>
          </w:tcPr>
          <w:p w:rsidR="003A2D65" w:rsidRPr="002C5141" w:rsidRDefault="009C48C0" w:rsidP="00370EFD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095" w:type="dxa"/>
            <w:shd w:val="clear" w:color="auto" w:fill="auto"/>
          </w:tcPr>
          <w:p w:rsidR="003A2D65" w:rsidRPr="002C5141" w:rsidRDefault="009C48C0" w:rsidP="00370EFD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Выявленное нарушение</w:t>
            </w:r>
          </w:p>
        </w:tc>
      </w:tr>
      <w:tr w:rsidR="003A2D65" w:rsidRPr="005F29A3" w:rsidTr="0031486B">
        <w:tc>
          <w:tcPr>
            <w:tcW w:w="534" w:type="dxa"/>
            <w:shd w:val="clear" w:color="auto" w:fill="auto"/>
            <w:vAlign w:val="center"/>
          </w:tcPr>
          <w:p w:rsidR="003A2D65" w:rsidRPr="005F29A3" w:rsidRDefault="003A2D65" w:rsidP="00370EFD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««</w:t>
            </w:r>
            <w:proofErr w:type="spellStart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Дорнефтегаз</w:t>
            </w:r>
            <w:proofErr w:type="spellEnd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» ИНН  6658007609, № 21 в реестре членов;</w:t>
            </w:r>
          </w:p>
        </w:tc>
        <w:tc>
          <w:tcPr>
            <w:tcW w:w="6095" w:type="dxa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Неоднократная неуплата членских взносов в Ассоциацию – не внесены членские взносы за 2019 и 2020 год</w:t>
            </w:r>
          </w:p>
        </w:tc>
      </w:tr>
      <w:tr w:rsidR="003A2D65" w:rsidRPr="005F29A3" w:rsidTr="0031486B">
        <w:tc>
          <w:tcPr>
            <w:tcW w:w="534" w:type="dxa"/>
            <w:vAlign w:val="center"/>
          </w:tcPr>
          <w:p w:rsidR="003A2D65" w:rsidRPr="005F29A3" w:rsidRDefault="003A2D65" w:rsidP="00370EFD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ЗаказСтрой</w:t>
            </w:r>
            <w:proofErr w:type="spellEnd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» ИНН  7713638053, № 129 в реестре членов;</w:t>
            </w:r>
          </w:p>
        </w:tc>
        <w:tc>
          <w:tcPr>
            <w:tcW w:w="6095" w:type="dxa"/>
          </w:tcPr>
          <w:p w:rsidR="003A2D65" w:rsidRPr="005F29A3" w:rsidRDefault="003A2D65" w:rsidP="003A2D65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Неоднократная неуплата членских взносов в Ассоциацию – не внесены членские взносы за 2018, 2019 и 2020 год, неоднократное непредставление сведений, необходимых для исчисления взносов. Нарушены </w:t>
            </w:r>
            <w:r w:rsidRPr="003A2D65">
              <w:rPr>
                <w:rFonts w:ascii="Times New Roman" w:hAnsi="Times New Roman" w:cs="Times New Roman"/>
                <w:sz w:val="16"/>
                <w:szCs w:val="16"/>
              </w:rPr>
              <w:t>п. 5.5, 7.4., 7.9.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Положения</w:t>
            </w:r>
          </w:p>
        </w:tc>
      </w:tr>
      <w:tr w:rsidR="003A2D65" w:rsidRPr="005F29A3" w:rsidTr="0031486B">
        <w:tc>
          <w:tcPr>
            <w:tcW w:w="534" w:type="dxa"/>
            <w:vAlign w:val="center"/>
          </w:tcPr>
          <w:p w:rsidR="003A2D65" w:rsidRPr="005F29A3" w:rsidRDefault="003A2D65" w:rsidP="00370EFD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Геосъемка</w:t>
            </w:r>
            <w:proofErr w:type="spellEnd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» ИНН  5902827052, № 156 в реестре членов;</w:t>
            </w:r>
          </w:p>
        </w:tc>
        <w:tc>
          <w:tcPr>
            <w:tcW w:w="6095" w:type="dxa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Неоднократная неуплата членских взносов в Ассоциацию – не внесены членские взносы за 2018, 2019 и 2020 год, неоднократное непредставление сведений, необходимых для исчисления взносов. Нарушены </w:t>
            </w:r>
            <w:r w:rsidRPr="003A2D65">
              <w:rPr>
                <w:rFonts w:ascii="Times New Roman" w:hAnsi="Times New Roman" w:cs="Times New Roman"/>
                <w:sz w:val="16"/>
                <w:szCs w:val="16"/>
              </w:rPr>
              <w:t>п. 5.5, 7.4., 7.9.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Положения</w:t>
            </w:r>
          </w:p>
        </w:tc>
      </w:tr>
      <w:tr w:rsidR="003A2D65" w:rsidRPr="005F29A3" w:rsidTr="0031486B">
        <w:tc>
          <w:tcPr>
            <w:tcW w:w="534" w:type="dxa"/>
            <w:vAlign w:val="center"/>
          </w:tcPr>
          <w:p w:rsidR="003A2D65" w:rsidRPr="005F29A3" w:rsidRDefault="003A2D65" w:rsidP="00370EFD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«ТЕЛ МТК» ИНН  7714342877, № 161 в реестре членов;</w:t>
            </w:r>
          </w:p>
        </w:tc>
        <w:tc>
          <w:tcPr>
            <w:tcW w:w="6095" w:type="dxa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Неоднократная неуплата членских взносов в Ассоциацию – не внесены членские взносы за 2018, 2019 и 2020 год, неоднократное непредставление сведений, необходимых для исчисления взносов. Нарушены </w:t>
            </w:r>
            <w:r w:rsidRPr="003A2D65">
              <w:rPr>
                <w:rFonts w:ascii="Times New Roman" w:hAnsi="Times New Roman" w:cs="Times New Roman"/>
                <w:sz w:val="16"/>
                <w:szCs w:val="16"/>
              </w:rPr>
              <w:t>п. 5.5, 7.4., 7.9.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Положения</w:t>
            </w:r>
          </w:p>
        </w:tc>
      </w:tr>
      <w:tr w:rsidR="003A2D65" w:rsidRPr="005F29A3" w:rsidTr="0031486B">
        <w:tc>
          <w:tcPr>
            <w:tcW w:w="534" w:type="dxa"/>
            <w:vAlign w:val="center"/>
          </w:tcPr>
          <w:p w:rsidR="003A2D65" w:rsidRPr="005F29A3" w:rsidRDefault="003A2D65" w:rsidP="00370EFD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«Земельно-кадастровая Корпорация» ИНН 8602137568, № 162 в реестре членов;</w:t>
            </w:r>
          </w:p>
        </w:tc>
        <w:tc>
          <w:tcPr>
            <w:tcW w:w="6095" w:type="dxa"/>
          </w:tcPr>
          <w:p w:rsidR="003A2D65" w:rsidRPr="005F29A3" w:rsidRDefault="009C48C0" w:rsidP="009C48C0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Неоднократная неуплата членских взносов в Ассоциацию – не внесены членские взносы за 2018, 2019 и 2020 год, непредставление сведений, необходимых для исчисления взносов, в 2020 году. Нарушены </w:t>
            </w:r>
            <w:r w:rsidRPr="003A2D65">
              <w:rPr>
                <w:rFonts w:ascii="Times New Roman" w:hAnsi="Times New Roman" w:cs="Times New Roman"/>
                <w:sz w:val="16"/>
                <w:szCs w:val="16"/>
              </w:rPr>
              <w:t>п. 5.5, 7.4., 7.9.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Положения</w:t>
            </w:r>
          </w:p>
        </w:tc>
      </w:tr>
      <w:tr w:rsidR="003A2D65" w:rsidRPr="005F29A3" w:rsidTr="0031486B">
        <w:tc>
          <w:tcPr>
            <w:tcW w:w="534" w:type="dxa"/>
            <w:vAlign w:val="center"/>
          </w:tcPr>
          <w:p w:rsidR="003A2D65" w:rsidRPr="005F29A3" w:rsidRDefault="003A2D65" w:rsidP="00370EFD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«Научно-производственная фирма </w:t>
            </w:r>
            <w:proofErr w:type="spellStart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АвтоМост</w:t>
            </w:r>
            <w:proofErr w:type="spellEnd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» ИНН 2901101456, №173 в реестре членов;</w:t>
            </w:r>
          </w:p>
        </w:tc>
        <w:tc>
          <w:tcPr>
            <w:tcW w:w="6095" w:type="dxa"/>
            <w:shd w:val="clear" w:color="auto" w:fill="auto"/>
          </w:tcPr>
          <w:p w:rsidR="003A2D65" w:rsidRPr="005F29A3" w:rsidRDefault="009C48C0" w:rsidP="009C48C0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Неоднократная неуплата членских взносов в Ассоциацию – не внесены членские взносы за 2020 год, непредставление сведений, необходимых для исчисления взносов, в 2020 году. Нарушены </w:t>
            </w:r>
            <w:r w:rsidRPr="003A2D65">
              <w:rPr>
                <w:rFonts w:ascii="Times New Roman" w:hAnsi="Times New Roman" w:cs="Times New Roman"/>
                <w:sz w:val="16"/>
                <w:szCs w:val="16"/>
              </w:rPr>
              <w:t>п. 5.5, 7.4., 7.9.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Положения</w:t>
            </w:r>
          </w:p>
        </w:tc>
      </w:tr>
      <w:tr w:rsidR="003A2D65" w:rsidRPr="005F29A3" w:rsidTr="0031486B">
        <w:tc>
          <w:tcPr>
            <w:tcW w:w="534" w:type="dxa"/>
            <w:shd w:val="clear" w:color="auto" w:fill="auto"/>
            <w:vAlign w:val="center"/>
          </w:tcPr>
          <w:p w:rsidR="003A2D65" w:rsidRPr="005F29A3" w:rsidRDefault="003A2D65" w:rsidP="00370EFD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ВолгоградТрансСтройПроект</w:t>
            </w:r>
            <w:proofErr w:type="spellEnd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» ИНН 3459009701, № 203 в реестре членов;</w:t>
            </w:r>
          </w:p>
        </w:tc>
        <w:tc>
          <w:tcPr>
            <w:tcW w:w="6095" w:type="dxa"/>
            <w:shd w:val="clear" w:color="auto" w:fill="auto"/>
          </w:tcPr>
          <w:p w:rsidR="003A2D65" w:rsidRPr="005F29A3" w:rsidRDefault="003A2D65" w:rsidP="009C48C0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Неоднократная неуплата членских взносов в Ассоциацию – не внесены членские взносы за 2019 и 2020 год, непредставление сведений, необходимых для исчисления взносов</w:t>
            </w:r>
            <w:r w:rsidR="009C48C0">
              <w:rPr>
                <w:rFonts w:ascii="Times New Roman" w:hAnsi="Times New Roman" w:cs="Times New Roman"/>
                <w:sz w:val="16"/>
                <w:szCs w:val="16"/>
              </w:rPr>
              <w:t>, в 2019 году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Нарушены </w:t>
            </w:r>
            <w:r w:rsidRPr="003A2D65">
              <w:rPr>
                <w:rFonts w:ascii="Times New Roman" w:hAnsi="Times New Roman" w:cs="Times New Roman"/>
                <w:sz w:val="16"/>
                <w:szCs w:val="16"/>
              </w:rPr>
              <w:t>п. 5.5, 7.4., 7.9.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Положения</w:t>
            </w:r>
          </w:p>
        </w:tc>
      </w:tr>
      <w:tr w:rsidR="003A2D65" w:rsidRPr="005F29A3" w:rsidTr="0031486B">
        <w:tc>
          <w:tcPr>
            <w:tcW w:w="534" w:type="dxa"/>
            <w:shd w:val="clear" w:color="auto" w:fill="auto"/>
            <w:vAlign w:val="center"/>
          </w:tcPr>
          <w:p w:rsidR="003A2D65" w:rsidRPr="005F29A3" w:rsidRDefault="003A2D65" w:rsidP="00370EFD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«ТТС-ЭНЕРГО» ИНН 7716810993, № 213 в реестре членов;</w:t>
            </w:r>
          </w:p>
        </w:tc>
        <w:tc>
          <w:tcPr>
            <w:tcW w:w="6095" w:type="dxa"/>
          </w:tcPr>
          <w:p w:rsidR="003A2D65" w:rsidRPr="005F29A3" w:rsidRDefault="003A2D65" w:rsidP="009C48C0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Неуплата членских взносов в Ассоциацию – не внесены членские взносы за 2020 год</w:t>
            </w:r>
            <w:r w:rsidR="009C48C0">
              <w:rPr>
                <w:rFonts w:ascii="Times New Roman" w:hAnsi="Times New Roman" w:cs="Times New Roman"/>
                <w:sz w:val="16"/>
                <w:szCs w:val="16"/>
              </w:rPr>
              <w:t>. Нарушены п. 5.5, 7.4. Положения</w:t>
            </w:r>
          </w:p>
        </w:tc>
      </w:tr>
      <w:tr w:rsidR="003A2D65" w:rsidRPr="005F29A3" w:rsidTr="0031486B">
        <w:tc>
          <w:tcPr>
            <w:tcW w:w="534" w:type="dxa"/>
            <w:vAlign w:val="center"/>
          </w:tcPr>
          <w:p w:rsidR="003A2D65" w:rsidRPr="005F29A3" w:rsidRDefault="003A2D65" w:rsidP="00370EFD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«Экспертно-Инжиниринговая Компания» </w:t>
            </w:r>
            <w:r w:rsidRPr="005F29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ИНН 7726514792, № 218 в реестре членов;</w:t>
            </w:r>
          </w:p>
        </w:tc>
        <w:tc>
          <w:tcPr>
            <w:tcW w:w="6095" w:type="dxa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Неоднократная неуплата членских взносов в Ассоциацию – не внесены членские взносы за 2019 и 2020 год, неоднократное непредставление сведений, необходимых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для исчисления взносов. Нарушены </w:t>
            </w:r>
            <w:r w:rsidRPr="003A2D65">
              <w:rPr>
                <w:rFonts w:ascii="Times New Roman" w:hAnsi="Times New Roman" w:cs="Times New Roman"/>
                <w:sz w:val="16"/>
                <w:szCs w:val="16"/>
              </w:rPr>
              <w:t>п. 5.5, 7.4., 7.9.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Положения</w:t>
            </w:r>
          </w:p>
        </w:tc>
      </w:tr>
      <w:tr w:rsidR="003A2D65" w:rsidRPr="005F29A3" w:rsidTr="0031486B">
        <w:tc>
          <w:tcPr>
            <w:tcW w:w="534" w:type="dxa"/>
            <w:vAlign w:val="center"/>
          </w:tcPr>
          <w:p w:rsidR="003A2D65" w:rsidRPr="005F29A3" w:rsidRDefault="003A2D65" w:rsidP="00370EFD">
            <w:pPr>
              <w:spacing w:line="28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3402" w:type="dxa"/>
          </w:tcPr>
          <w:p w:rsidR="003A2D65" w:rsidRPr="005F29A3" w:rsidRDefault="003A2D65" w:rsidP="00370EFD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ЭнергоСтрой</w:t>
            </w:r>
            <w:proofErr w:type="spellEnd"/>
            <w:r w:rsidRPr="005F29A3">
              <w:rPr>
                <w:rFonts w:ascii="Times New Roman" w:hAnsi="Times New Roman" w:cs="Times New Roman"/>
                <w:sz w:val="16"/>
                <w:szCs w:val="16"/>
              </w:rPr>
              <w:t>» ИНН  7701649861, № 226 в реестре членов.</w:t>
            </w:r>
          </w:p>
        </w:tc>
        <w:tc>
          <w:tcPr>
            <w:tcW w:w="6095" w:type="dxa"/>
          </w:tcPr>
          <w:p w:rsidR="003A2D65" w:rsidRPr="005F29A3" w:rsidRDefault="003A2D65" w:rsidP="003A2D65">
            <w:pPr>
              <w:spacing w:line="28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Неоднократная неуплата членских взносов в Ассоциацию – не внесены членские взносы за 2019 и 2020 год, непредставление сведений, необходимых для исчисления взносов, в 2020 году. Нарушены </w:t>
            </w:r>
            <w:r w:rsidRPr="003A2D65">
              <w:rPr>
                <w:rFonts w:ascii="Times New Roman" w:hAnsi="Times New Roman" w:cs="Times New Roman"/>
                <w:sz w:val="16"/>
                <w:szCs w:val="16"/>
              </w:rPr>
              <w:t>п. 5.5, 7.4., 7.9.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Положения</w:t>
            </w:r>
          </w:p>
        </w:tc>
      </w:tr>
    </w:tbl>
    <w:p w:rsidR="003A2D65" w:rsidRDefault="003A2D65" w:rsidP="00515BA0">
      <w:pPr>
        <w:spacing w:line="288" w:lineRule="auto"/>
        <w:ind w:firstLine="567"/>
        <w:jc w:val="both"/>
        <w:rPr>
          <w:sz w:val="20"/>
          <w:szCs w:val="20"/>
        </w:rPr>
      </w:pPr>
    </w:p>
    <w:p w:rsidR="009C48C0" w:rsidRDefault="009C48C0" w:rsidP="00515BA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ходе проверки установлен факт неоднократности и множественности нарушений отдельными из указанных членов Ассоциации, что расценивается Комиссией как отягчающее обстоятельство. Смягчающих обстоятельств Комиссия не усматривает. </w:t>
      </w:r>
      <w:r w:rsidR="00F633B2">
        <w:rPr>
          <w:sz w:val="20"/>
          <w:szCs w:val="20"/>
        </w:rPr>
        <w:t>Учитывая признак неоднократности, а также тот факт, что членские взносы являются основным источником формирования имущества, необходимого для исполнения Ассоциацией установленных законом функций, Комиссия устанавливает высокую значимость совершенного нарушения. Факт возникновения или вероятность возникновения</w:t>
      </w:r>
      <w:r w:rsidR="0031486B">
        <w:rPr>
          <w:sz w:val="20"/>
          <w:szCs w:val="20"/>
        </w:rPr>
        <w:t xml:space="preserve"> для третьих лиц</w:t>
      </w:r>
      <w:r w:rsidR="00F633B2">
        <w:rPr>
          <w:sz w:val="20"/>
          <w:szCs w:val="20"/>
        </w:rPr>
        <w:t xml:space="preserve"> общественно-опасных последствий не установлен.</w:t>
      </w:r>
    </w:p>
    <w:p w:rsidR="00F633B2" w:rsidRDefault="00F633B2" w:rsidP="00515BA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Комиссией также установлено, что членство </w:t>
      </w:r>
      <w:r w:rsidRPr="00F633B2">
        <w:rPr>
          <w:sz w:val="20"/>
          <w:szCs w:val="20"/>
        </w:rPr>
        <w:t>Обществ</w:t>
      </w:r>
      <w:r>
        <w:rPr>
          <w:sz w:val="20"/>
          <w:szCs w:val="20"/>
        </w:rPr>
        <w:t>а</w:t>
      </w:r>
      <w:r w:rsidRPr="00F633B2">
        <w:rPr>
          <w:sz w:val="20"/>
          <w:szCs w:val="20"/>
        </w:rPr>
        <w:t xml:space="preserve"> с ограниченной ответственностью «Земельно-кадастровая Корпорация»</w:t>
      </w:r>
      <w:r w:rsidR="00E205F6">
        <w:rPr>
          <w:sz w:val="20"/>
          <w:szCs w:val="20"/>
        </w:rPr>
        <w:t>,</w:t>
      </w:r>
      <w:r w:rsidRPr="00F633B2">
        <w:rPr>
          <w:sz w:val="20"/>
          <w:szCs w:val="20"/>
        </w:rPr>
        <w:t xml:space="preserve"> ИНН 8602137568, № 162 в реестре членов</w:t>
      </w:r>
      <w:r>
        <w:rPr>
          <w:sz w:val="20"/>
          <w:szCs w:val="20"/>
        </w:rPr>
        <w:t>, прекращено вследствие добровольного выхода до принятия настоящего решения.</w:t>
      </w:r>
    </w:p>
    <w:p w:rsidR="00E205F6" w:rsidRDefault="00F633B2" w:rsidP="00515BA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Руководствуясь изложенным и в соответствии с ч. 4 ст. 10 Федерального закона от 01.12.2007 № 315-ФЗ «О саморегулируемых организациях», ч. 1 ст. 55.15 Градостроительного кодекса Российской Федерации</w:t>
      </w:r>
      <w:r w:rsidR="00E205F6">
        <w:rPr>
          <w:sz w:val="20"/>
          <w:szCs w:val="20"/>
        </w:rPr>
        <w:t>, Положением о мерах дисциплинарного воздействия Ассоциации, Дисциплинарная комиссия Ассоциации</w:t>
      </w:r>
    </w:p>
    <w:p w:rsidR="00E205F6" w:rsidRDefault="00E205F6" w:rsidP="00515BA0">
      <w:pPr>
        <w:spacing w:line="288" w:lineRule="auto"/>
        <w:ind w:firstLine="567"/>
        <w:jc w:val="both"/>
        <w:rPr>
          <w:sz w:val="20"/>
          <w:szCs w:val="20"/>
        </w:rPr>
      </w:pPr>
    </w:p>
    <w:p w:rsidR="00E205F6" w:rsidRDefault="00E205F6" w:rsidP="00515BA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РЕШИЛА</w:t>
      </w:r>
    </w:p>
    <w:p w:rsidR="00E205F6" w:rsidRDefault="00E205F6" w:rsidP="00515BA0">
      <w:pPr>
        <w:spacing w:line="288" w:lineRule="auto"/>
        <w:ind w:firstLine="567"/>
        <w:jc w:val="both"/>
        <w:rPr>
          <w:sz w:val="20"/>
          <w:szCs w:val="20"/>
        </w:rPr>
      </w:pPr>
    </w:p>
    <w:p w:rsidR="00F633B2" w:rsidRPr="0031486B" w:rsidRDefault="00E205F6" w:rsidP="00515BA0">
      <w:pPr>
        <w:spacing w:line="288" w:lineRule="auto"/>
        <w:ind w:firstLine="567"/>
        <w:jc w:val="both"/>
        <w:rPr>
          <w:sz w:val="20"/>
          <w:szCs w:val="20"/>
        </w:rPr>
      </w:pPr>
      <w:r w:rsidRPr="0031486B">
        <w:rPr>
          <w:sz w:val="20"/>
          <w:szCs w:val="20"/>
        </w:rPr>
        <w:t xml:space="preserve">1. Применить в отношении членов Ассоциации </w:t>
      </w:r>
      <w:r w:rsidR="00F633B2" w:rsidRPr="0031486B">
        <w:rPr>
          <w:sz w:val="20"/>
          <w:szCs w:val="20"/>
        </w:rPr>
        <w:t xml:space="preserve"> </w:t>
      </w:r>
    </w:p>
    <w:p w:rsidR="003A2D65" w:rsidRPr="0031486B" w:rsidRDefault="00F633B2" w:rsidP="00515BA0">
      <w:pPr>
        <w:spacing w:line="288" w:lineRule="auto"/>
        <w:ind w:firstLine="567"/>
        <w:jc w:val="both"/>
        <w:rPr>
          <w:sz w:val="20"/>
          <w:szCs w:val="20"/>
        </w:rPr>
      </w:pPr>
      <w:r w:rsidRPr="0031486B">
        <w:rPr>
          <w:sz w:val="20"/>
          <w:szCs w:val="20"/>
        </w:rPr>
        <w:t xml:space="preserve"> </w:t>
      </w:r>
    </w:p>
    <w:p w:rsidR="00E205F6" w:rsidRPr="0031486B" w:rsidRDefault="00E205F6" w:rsidP="00E205F6">
      <w:pPr>
        <w:pStyle w:val="ac"/>
        <w:numPr>
          <w:ilvl w:val="0"/>
          <w:numId w:val="9"/>
        </w:numPr>
        <w:tabs>
          <w:tab w:val="left" w:pos="426"/>
        </w:tabs>
        <w:autoSpaceDN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31486B">
        <w:rPr>
          <w:sz w:val="20"/>
          <w:szCs w:val="20"/>
        </w:rPr>
        <w:t>Общество с ограниченной ответственностью ««</w:t>
      </w:r>
      <w:proofErr w:type="spellStart"/>
      <w:r w:rsidRPr="0031486B">
        <w:rPr>
          <w:sz w:val="20"/>
          <w:szCs w:val="20"/>
        </w:rPr>
        <w:t>Дорнефтегаз</w:t>
      </w:r>
      <w:proofErr w:type="spellEnd"/>
      <w:r w:rsidRPr="0031486B">
        <w:rPr>
          <w:sz w:val="20"/>
          <w:szCs w:val="20"/>
        </w:rPr>
        <w:t xml:space="preserve">» ИНН  6658007609, </w:t>
      </w:r>
      <w:r w:rsidRPr="0031486B">
        <w:rPr>
          <w:b/>
          <w:sz w:val="20"/>
          <w:szCs w:val="20"/>
        </w:rPr>
        <w:t>№ 21</w:t>
      </w:r>
      <w:r w:rsidRPr="0031486B">
        <w:rPr>
          <w:sz w:val="20"/>
          <w:szCs w:val="20"/>
        </w:rPr>
        <w:t xml:space="preserve"> в реестре членов;</w:t>
      </w:r>
    </w:p>
    <w:p w:rsidR="00E205F6" w:rsidRPr="0031486B" w:rsidRDefault="00E205F6" w:rsidP="00E205F6">
      <w:pPr>
        <w:pStyle w:val="ac"/>
        <w:numPr>
          <w:ilvl w:val="0"/>
          <w:numId w:val="9"/>
        </w:numPr>
        <w:tabs>
          <w:tab w:val="left" w:pos="426"/>
        </w:tabs>
        <w:autoSpaceDN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31486B">
        <w:rPr>
          <w:sz w:val="20"/>
          <w:szCs w:val="20"/>
        </w:rPr>
        <w:t>Общество с ограниченной ответственностью «</w:t>
      </w:r>
      <w:proofErr w:type="spellStart"/>
      <w:r w:rsidRPr="0031486B">
        <w:rPr>
          <w:sz w:val="20"/>
          <w:szCs w:val="20"/>
        </w:rPr>
        <w:t>ЗаказСтрой</w:t>
      </w:r>
      <w:proofErr w:type="spellEnd"/>
      <w:r w:rsidRPr="0031486B">
        <w:rPr>
          <w:sz w:val="20"/>
          <w:szCs w:val="20"/>
        </w:rPr>
        <w:t xml:space="preserve">» ИНН  7713638053, </w:t>
      </w:r>
      <w:r w:rsidRPr="0031486B">
        <w:rPr>
          <w:b/>
          <w:sz w:val="20"/>
          <w:szCs w:val="20"/>
        </w:rPr>
        <w:t>№ 129</w:t>
      </w:r>
      <w:r w:rsidRPr="0031486B">
        <w:rPr>
          <w:sz w:val="20"/>
          <w:szCs w:val="20"/>
        </w:rPr>
        <w:t xml:space="preserve"> в реестре членов;</w:t>
      </w:r>
    </w:p>
    <w:p w:rsidR="00E205F6" w:rsidRPr="0031486B" w:rsidRDefault="00E205F6" w:rsidP="00E205F6">
      <w:pPr>
        <w:pStyle w:val="ac"/>
        <w:numPr>
          <w:ilvl w:val="0"/>
          <w:numId w:val="9"/>
        </w:numPr>
        <w:tabs>
          <w:tab w:val="left" w:pos="426"/>
        </w:tabs>
        <w:autoSpaceDN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31486B">
        <w:rPr>
          <w:sz w:val="20"/>
          <w:szCs w:val="20"/>
        </w:rPr>
        <w:t>Общество с ограниченной ответственностью «</w:t>
      </w:r>
      <w:proofErr w:type="spellStart"/>
      <w:r w:rsidRPr="0031486B">
        <w:rPr>
          <w:sz w:val="20"/>
          <w:szCs w:val="20"/>
        </w:rPr>
        <w:t>Геосъемка</w:t>
      </w:r>
      <w:proofErr w:type="spellEnd"/>
      <w:r w:rsidRPr="0031486B">
        <w:rPr>
          <w:sz w:val="20"/>
          <w:szCs w:val="20"/>
        </w:rPr>
        <w:t xml:space="preserve">» ИНН  5902827052, </w:t>
      </w:r>
      <w:r w:rsidRPr="0031486B">
        <w:rPr>
          <w:b/>
          <w:sz w:val="20"/>
          <w:szCs w:val="20"/>
        </w:rPr>
        <w:t>№ 156</w:t>
      </w:r>
      <w:r w:rsidRPr="0031486B">
        <w:rPr>
          <w:sz w:val="20"/>
          <w:szCs w:val="20"/>
        </w:rPr>
        <w:t xml:space="preserve"> в реестре членов;</w:t>
      </w:r>
    </w:p>
    <w:p w:rsidR="00E205F6" w:rsidRPr="0031486B" w:rsidRDefault="00E205F6" w:rsidP="00E205F6">
      <w:pPr>
        <w:pStyle w:val="ac"/>
        <w:numPr>
          <w:ilvl w:val="0"/>
          <w:numId w:val="9"/>
        </w:numPr>
        <w:tabs>
          <w:tab w:val="left" w:pos="426"/>
        </w:tabs>
        <w:autoSpaceDN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31486B">
        <w:rPr>
          <w:sz w:val="20"/>
          <w:szCs w:val="20"/>
        </w:rPr>
        <w:t xml:space="preserve">Общество с ограниченной ответственностью «ТЕЛ МТК» ИНН  7714342877, </w:t>
      </w:r>
      <w:r w:rsidRPr="0031486B">
        <w:rPr>
          <w:b/>
          <w:sz w:val="20"/>
          <w:szCs w:val="20"/>
        </w:rPr>
        <w:t>№ 161</w:t>
      </w:r>
      <w:r w:rsidRPr="0031486B">
        <w:rPr>
          <w:sz w:val="20"/>
          <w:szCs w:val="20"/>
        </w:rPr>
        <w:t xml:space="preserve"> в реестре членов;</w:t>
      </w:r>
    </w:p>
    <w:p w:rsidR="00E205F6" w:rsidRPr="0031486B" w:rsidRDefault="00E205F6" w:rsidP="00E205F6">
      <w:pPr>
        <w:pStyle w:val="ac"/>
        <w:numPr>
          <w:ilvl w:val="0"/>
          <w:numId w:val="9"/>
        </w:numPr>
        <w:tabs>
          <w:tab w:val="left" w:pos="426"/>
        </w:tabs>
        <w:autoSpaceDN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31486B">
        <w:rPr>
          <w:sz w:val="20"/>
          <w:szCs w:val="20"/>
        </w:rPr>
        <w:t>Общество с ограниченной ответственностью «</w:t>
      </w:r>
      <w:proofErr w:type="spellStart"/>
      <w:r w:rsidRPr="0031486B">
        <w:rPr>
          <w:sz w:val="20"/>
          <w:szCs w:val="20"/>
        </w:rPr>
        <w:t>ВолгоградТрансСтройПроект</w:t>
      </w:r>
      <w:proofErr w:type="spellEnd"/>
      <w:r w:rsidRPr="0031486B">
        <w:rPr>
          <w:sz w:val="20"/>
          <w:szCs w:val="20"/>
        </w:rPr>
        <w:t xml:space="preserve">» ИНН 3459009701, </w:t>
      </w:r>
      <w:r w:rsidRPr="0031486B">
        <w:rPr>
          <w:b/>
          <w:sz w:val="20"/>
          <w:szCs w:val="20"/>
        </w:rPr>
        <w:t>№ 203</w:t>
      </w:r>
      <w:r w:rsidRPr="0031486B">
        <w:rPr>
          <w:sz w:val="20"/>
          <w:szCs w:val="20"/>
        </w:rPr>
        <w:t xml:space="preserve"> в реестре членов;</w:t>
      </w:r>
    </w:p>
    <w:p w:rsidR="00E205F6" w:rsidRPr="0031486B" w:rsidRDefault="00E205F6" w:rsidP="00E205F6">
      <w:pPr>
        <w:pStyle w:val="ac"/>
        <w:numPr>
          <w:ilvl w:val="0"/>
          <w:numId w:val="9"/>
        </w:numPr>
        <w:tabs>
          <w:tab w:val="left" w:pos="426"/>
        </w:tabs>
        <w:autoSpaceDN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31486B">
        <w:rPr>
          <w:sz w:val="20"/>
          <w:szCs w:val="20"/>
        </w:rPr>
        <w:t xml:space="preserve">Общество с ограниченной ответственностью «Экспертно-Инжиниринговая Компания» ИНН 7726514792, </w:t>
      </w:r>
      <w:r w:rsidRPr="0031486B">
        <w:rPr>
          <w:b/>
          <w:sz w:val="20"/>
          <w:szCs w:val="20"/>
        </w:rPr>
        <w:t>№ 218</w:t>
      </w:r>
      <w:r w:rsidRPr="0031486B">
        <w:rPr>
          <w:sz w:val="20"/>
          <w:szCs w:val="20"/>
        </w:rPr>
        <w:t xml:space="preserve"> в реестре членов;</w:t>
      </w:r>
    </w:p>
    <w:p w:rsidR="00E205F6" w:rsidRDefault="00E205F6" w:rsidP="00E205F6">
      <w:pPr>
        <w:pStyle w:val="ac"/>
        <w:numPr>
          <w:ilvl w:val="0"/>
          <w:numId w:val="9"/>
        </w:numPr>
        <w:tabs>
          <w:tab w:val="left" w:pos="426"/>
        </w:tabs>
        <w:autoSpaceDN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31486B">
        <w:rPr>
          <w:sz w:val="20"/>
          <w:szCs w:val="20"/>
        </w:rPr>
        <w:t>Общество с ограниченной ответственностью «</w:t>
      </w:r>
      <w:proofErr w:type="spellStart"/>
      <w:r w:rsidRPr="0031486B">
        <w:rPr>
          <w:sz w:val="20"/>
          <w:szCs w:val="20"/>
        </w:rPr>
        <w:t>ЭнергоСтрой</w:t>
      </w:r>
      <w:proofErr w:type="spellEnd"/>
      <w:r w:rsidRPr="0031486B">
        <w:rPr>
          <w:sz w:val="20"/>
          <w:szCs w:val="20"/>
        </w:rPr>
        <w:t xml:space="preserve">» ИНН  7701649861, </w:t>
      </w:r>
      <w:r w:rsidRPr="0031486B">
        <w:rPr>
          <w:b/>
          <w:sz w:val="20"/>
          <w:szCs w:val="20"/>
        </w:rPr>
        <w:t>№ 226</w:t>
      </w:r>
      <w:r w:rsidR="00477644">
        <w:rPr>
          <w:sz w:val="20"/>
          <w:szCs w:val="20"/>
        </w:rPr>
        <w:t xml:space="preserve"> в реестре членов;</w:t>
      </w:r>
    </w:p>
    <w:p w:rsidR="00477644" w:rsidRPr="0031486B" w:rsidRDefault="00477644" w:rsidP="00E205F6">
      <w:pPr>
        <w:pStyle w:val="ac"/>
        <w:numPr>
          <w:ilvl w:val="0"/>
          <w:numId w:val="9"/>
        </w:numPr>
        <w:tabs>
          <w:tab w:val="left" w:pos="426"/>
        </w:tabs>
        <w:autoSpaceDN w:val="0"/>
        <w:spacing w:after="0" w:line="240" w:lineRule="auto"/>
        <w:ind w:left="0" w:firstLine="0"/>
        <w:jc w:val="both"/>
        <w:rPr>
          <w:sz w:val="20"/>
          <w:szCs w:val="20"/>
        </w:rPr>
      </w:pPr>
      <w:r w:rsidRPr="0031486B">
        <w:rPr>
          <w:sz w:val="20"/>
          <w:szCs w:val="20"/>
        </w:rPr>
        <w:t xml:space="preserve">Общество с ограниченной ответственностью «ТТС-ЭНЕРГО» ИНН 7716810993, № </w:t>
      </w:r>
      <w:r w:rsidRPr="00477644">
        <w:rPr>
          <w:b/>
          <w:sz w:val="20"/>
          <w:szCs w:val="20"/>
        </w:rPr>
        <w:t>213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в реестре членов</w:t>
      </w:r>
      <w:r>
        <w:rPr>
          <w:sz w:val="20"/>
          <w:szCs w:val="20"/>
        </w:rPr>
        <w:t>.</w:t>
      </w:r>
    </w:p>
    <w:p w:rsidR="00F633B2" w:rsidRPr="0031486B" w:rsidRDefault="00F633B2" w:rsidP="00515BA0">
      <w:pPr>
        <w:spacing w:line="288" w:lineRule="auto"/>
        <w:ind w:firstLine="567"/>
        <w:jc w:val="both"/>
        <w:rPr>
          <w:sz w:val="20"/>
          <w:szCs w:val="20"/>
        </w:rPr>
      </w:pPr>
    </w:p>
    <w:p w:rsidR="00E205F6" w:rsidRPr="0031486B" w:rsidRDefault="00E205F6" w:rsidP="00515BA0">
      <w:pPr>
        <w:spacing w:line="288" w:lineRule="auto"/>
        <w:ind w:firstLine="567"/>
        <w:jc w:val="both"/>
        <w:rPr>
          <w:sz w:val="20"/>
          <w:szCs w:val="20"/>
        </w:rPr>
      </w:pPr>
      <w:r w:rsidRPr="0031486B">
        <w:rPr>
          <w:sz w:val="20"/>
          <w:szCs w:val="20"/>
        </w:rPr>
        <w:t xml:space="preserve">меру дисциплинарного воздействия в виде </w:t>
      </w:r>
      <w:r w:rsidR="0031486B" w:rsidRPr="0031486B">
        <w:rPr>
          <w:sz w:val="20"/>
          <w:szCs w:val="20"/>
        </w:rPr>
        <w:t>рекомендации об исключении из членов Ассоциации, подлежащей рассмотрению постоянно действующим коллегиальным органом управления Ассоциации.</w:t>
      </w:r>
    </w:p>
    <w:p w:rsidR="0031486B" w:rsidRPr="0031486B" w:rsidRDefault="0031486B" w:rsidP="00515BA0">
      <w:pPr>
        <w:spacing w:line="288" w:lineRule="auto"/>
        <w:ind w:firstLine="567"/>
        <w:jc w:val="both"/>
        <w:rPr>
          <w:sz w:val="20"/>
          <w:szCs w:val="20"/>
        </w:rPr>
      </w:pPr>
    </w:p>
    <w:p w:rsidR="0031486B" w:rsidRPr="0031486B" w:rsidRDefault="0031486B" w:rsidP="00515BA0">
      <w:pPr>
        <w:spacing w:line="288" w:lineRule="auto"/>
        <w:ind w:firstLine="567"/>
        <w:jc w:val="both"/>
        <w:rPr>
          <w:sz w:val="20"/>
          <w:szCs w:val="20"/>
        </w:rPr>
      </w:pPr>
      <w:r w:rsidRPr="0031486B">
        <w:rPr>
          <w:sz w:val="20"/>
          <w:szCs w:val="20"/>
        </w:rPr>
        <w:t xml:space="preserve">2. Применить в отношении членов Ассоциации Общество с ограниченной ответственностью «Научно-производственная фирма </w:t>
      </w:r>
      <w:r>
        <w:rPr>
          <w:sz w:val="20"/>
          <w:szCs w:val="20"/>
        </w:rPr>
        <w:t>«</w:t>
      </w:r>
      <w:proofErr w:type="spellStart"/>
      <w:r w:rsidRPr="0031486B">
        <w:rPr>
          <w:sz w:val="20"/>
          <w:szCs w:val="20"/>
        </w:rPr>
        <w:t>АвтоМост</w:t>
      </w:r>
      <w:proofErr w:type="spellEnd"/>
      <w:r w:rsidRPr="0031486B">
        <w:rPr>
          <w:sz w:val="20"/>
          <w:szCs w:val="20"/>
        </w:rPr>
        <w:t>» ИНН 2901101456, №173 в реестре членов, в реестре членов меру дисциплинарного воздействия в виде вынесения предупреждения. Указанны</w:t>
      </w:r>
      <w:r w:rsidR="0094769C">
        <w:rPr>
          <w:sz w:val="20"/>
          <w:szCs w:val="20"/>
        </w:rPr>
        <w:t>й</w:t>
      </w:r>
      <w:r w:rsidRPr="0031486B">
        <w:rPr>
          <w:sz w:val="20"/>
          <w:szCs w:val="20"/>
        </w:rPr>
        <w:t xml:space="preserve"> член Ассоциации предупреждаются о необходимости надлежащим образом исполнять обязательство по уплате взносов, а также по представлению необходимых для этого сведений. Указанные члены Ассоциации также предупреждаются о необходимости устранить выявленные нарушения в соответствии с п. 2.6 Положения о мерах дисциплинарного воздействия Ассоциации.</w:t>
      </w:r>
    </w:p>
    <w:p w:rsidR="0031486B" w:rsidRPr="0031486B" w:rsidRDefault="0031486B" w:rsidP="00515BA0">
      <w:pPr>
        <w:spacing w:line="288" w:lineRule="auto"/>
        <w:ind w:firstLine="567"/>
        <w:jc w:val="both"/>
        <w:rPr>
          <w:sz w:val="20"/>
          <w:szCs w:val="20"/>
        </w:rPr>
      </w:pPr>
    </w:p>
    <w:p w:rsidR="0031486B" w:rsidRPr="0031486B" w:rsidRDefault="0031486B" w:rsidP="00515BA0">
      <w:pPr>
        <w:spacing w:line="288" w:lineRule="auto"/>
        <w:ind w:firstLine="567"/>
        <w:jc w:val="both"/>
        <w:rPr>
          <w:sz w:val="20"/>
          <w:szCs w:val="20"/>
        </w:rPr>
      </w:pPr>
      <w:r w:rsidRPr="0031486B">
        <w:rPr>
          <w:sz w:val="20"/>
          <w:szCs w:val="20"/>
        </w:rPr>
        <w:t xml:space="preserve">3. </w:t>
      </w:r>
      <w:proofErr w:type="gramStart"/>
      <w:r w:rsidRPr="0031486B">
        <w:rPr>
          <w:sz w:val="20"/>
          <w:szCs w:val="20"/>
        </w:rPr>
        <w:t>Принимая во внимание, что в соответствии с законодательством Российской Федерации мера дисциплинарного воздействия применяется только в отношении членов саморегулируемой организации, производство по делу о применении мер дисциплинарного воздействия в отношении Общества с ограниченной ответственностью «Земельно-кадастровая Корпорация» ИНН 8602137568, № 162</w:t>
      </w:r>
      <w:r w:rsidR="00477644">
        <w:rPr>
          <w:sz w:val="20"/>
          <w:szCs w:val="20"/>
        </w:rPr>
        <w:t>,</w:t>
      </w:r>
      <w:r w:rsidRPr="0031486B">
        <w:rPr>
          <w:sz w:val="20"/>
          <w:szCs w:val="20"/>
        </w:rPr>
        <w:t xml:space="preserve"> в реестре членов прекращается, а мера дисциплинарного воздействия не применяется в связи с прекращением членства.</w:t>
      </w:r>
      <w:proofErr w:type="gramEnd"/>
    </w:p>
    <w:p w:rsidR="000D67D2" w:rsidRPr="0031486B" w:rsidRDefault="000D67D2" w:rsidP="000D67D2">
      <w:pPr>
        <w:spacing w:line="288" w:lineRule="auto"/>
        <w:ind w:firstLine="567"/>
        <w:jc w:val="both"/>
        <w:rPr>
          <w:sz w:val="20"/>
          <w:szCs w:val="20"/>
        </w:rPr>
      </w:pPr>
    </w:p>
    <w:p w:rsidR="000D67D2" w:rsidRPr="002C5141" w:rsidRDefault="000D67D2" w:rsidP="002B2AE3">
      <w:pPr>
        <w:spacing w:line="288" w:lineRule="auto"/>
        <w:ind w:firstLine="567"/>
        <w:jc w:val="both"/>
        <w:rPr>
          <w:sz w:val="20"/>
          <w:szCs w:val="20"/>
        </w:rPr>
      </w:pPr>
    </w:p>
    <w:p w:rsidR="000D67D2" w:rsidRPr="002C5141" w:rsidRDefault="000D67D2" w:rsidP="002B2AE3">
      <w:pPr>
        <w:spacing w:line="288" w:lineRule="auto"/>
        <w:ind w:firstLine="567"/>
        <w:jc w:val="both"/>
        <w:rPr>
          <w:sz w:val="20"/>
          <w:szCs w:val="20"/>
        </w:rPr>
      </w:pPr>
    </w:p>
    <w:p w:rsidR="00CF2F31" w:rsidRPr="002C5141" w:rsidRDefault="0031486B" w:rsidP="00477644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 Комиссии                                                                                                                                      И.И. </w:t>
      </w:r>
      <w:proofErr w:type="spellStart"/>
      <w:r>
        <w:rPr>
          <w:sz w:val="20"/>
          <w:szCs w:val="20"/>
        </w:rPr>
        <w:t>Горьков</w:t>
      </w:r>
      <w:proofErr w:type="spellEnd"/>
    </w:p>
    <w:sectPr w:rsidR="00CF2F31" w:rsidRPr="002C5141" w:rsidSect="00477644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95" w:rsidRDefault="00CB6E95">
      <w:r>
        <w:separator/>
      </w:r>
    </w:p>
  </w:endnote>
  <w:endnote w:type="continuationSeparator" w:id="0">
    <w:p w:rsidR="00CB6E95" w:rsidRDefault="00C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95" w:rsidRDefault="00CB6E95">
      <w:r>
        <w:separator/>
      </w:r>
    </w:p>
  </w:footnote>
  <w:footnote w:type="continuationSeparator" w:id="0">
    <w:p w:rsidR="00CB6E95" w:rsidRDefault="00CB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439F"/>
    <w:multiLevelType w:val="hybridMultilevel"/>
    <w:tmpl w:val="C276A1D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331F7BED"/>
    <w:multiLevelType w:val="hybridMultilevel"/>
    <w:tmpl w:val="3842A630"/>
    <w:lvl w:ilvl="0" w:tplc="EDFC6E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B54314"/>
    <w:multiLevelType w:val="hybridMultilevel"/>
    <w:tmpl w:val="CE4264DE"/>
    <w:lvl w:ilvl="0" w:tplc="FE96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B172C"/>
    <w:multiLevelType w:val="hybridMultilevel"/>
    <w:tmpl w:val="4CB089B8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84700"/>
    <w:multiLevelType w:val="hybridMultilevel"/>
    <w:tmpl w:val="58C05396"/>
    <w:lvl w:ilvl="0" w:tplc="708629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7A626B"/>
    <w:multiLevelType w:val="hybridMultilevel"/>
    <w:tmpl w:val="F9B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903D50"/>
    <w:multiLevelType w:val="hybridMultilevel"/>
    <w:tmpl w:val="12640BE8"/>
    <w:lvl w:ilvl="0" w:tplc="9726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E2A"/>
    <w:rsid w:val="00001F3E"/>
    <w:rsid w:val="00012C59"/>
    <w:rsid w:val="00013B88"/>
    <w:rsid w:val="00017055"/>
    <w:rsid w:val="00025441"/>
    <w:rsid w:val="000317AF"/>
    <w:rsid w:val="00034162"/>
    <w:rsid w:val="00045B82"/>
    <w:rsid w:val="00047B17"/>
    <w:rsid w:val="00055AA4"/>
    <w:rsid w:val="000567C2"/>
    <w:rsid w:val="00056AF3"/>
    <w:rsid w:val="00063819"/>
    <w:rsid w:val="00066DB2"/>
    <w:rsid w:val="00074822"/>
    <w:rsid w:val="00074D89"/>
    <w:rsid w:val="00077518"/>
    <w:rsid w:val="00082DAC"/>
    <w:rsid w:val="00083FE5"/>
    <w:rsid w:val="0008715A"/>
    <w:rsid w:val="00096995"/>
    <w:rsid w:val="000A08D4"/>
    <w:rsid w:val="000A7393"/>
    <w:rsid w:val="000C41D5"/>
    <w:rsid w:val="000C50B5"/>
    <w:rsid w:val="000D15FA"/>
    <w:rsid w:val="000D40C0"/>
    <w:rsid w:val="000D67D2"/>
    <w:rsid w:val="000E61C2"/>
    <w:rsid w:val="000F3B14"/>
    <w:rsid w:val="00104C90"/>
    <w:rsid w:val="00104EEF"/>
    <w:rsid w:val="00114EE9"/>
    <w:rsid w:val="00114FBF"/>
    <w:rsid w:val="00115491"/>
    <w:rsid w:val="00123F53"/>
    <w:rsid w:val="00143085"/>
    <w:rsid w:val="00144B6B"/>
    <w:rsid w:val="00175AAE"/>
    <w:rsid w:val="00176FAC"/>
    <w:rsid w:val="0018117C"/>
    <w:rsid w:val="00193676"/>
    <w:rsid w:val="00195A51"/>
    <w:rsid w:val="001A254E"/>
    <w:rsid w:val="001A435B"/>
    <w:rsid w:val="001A50D9"/>
    <w:rsid w:val="001B6DAE"/>
    <w:rsid w:val="001C5054"/>
    <w:rsid w:val="001D4A53"/>
    <w:rsid w:val="001D6379"/>
    <w:rsid w:val="001E287C"/>
    <w:rsid w:val="001E28F9"/>
    <w:rsid w:val="001E6CF5"/>
    <w:rsid w:val="001F1E6A"/>
    <w:rsid w:val="001F6D24"/>
    <w:rsid w:val="001F73CD"/>
    <w:rsid w:val="00204FEE"/>
    <w:rsid w:val="002077C9"/>
    <w:rsid w:val="00212450"/>
    <w:rsid w:val="00222F8C"/>
    <w:rsid w:val="00224E3E"/>
    <w:rsid w:val="002309BE"/>
    <w:rsid w:val="002344F4"/>
    <w:rsid w:val="002374A1"/>
    <w:rsid w:val="0024527B"/>
    <w:rsid w:val="00250DDC"/>
    <w:rsid w:val="002515B3"/>
    <w:rsid w:val="0025325A"/>
    <w:rsid w:val="00253941"/>
    <w:rsid w:val="002546A0"/>
    <w:rsid w:val="00265B28"/>
    <w:rsid w:val="00275C3D"/>
    <w:rsid w:val="00275F6E"/>
    <w:rsid w:val="00283E65"/>
    <w:rsid w:val="00287A86"/>
    <w:rsid w:val="002A0494"/>
    <w:rsid w:val="002A2A02"/>
    <w:rsid w:val="002A3931"/>
    <w:rsid w:val="002A3CEF"/>
    <w:rsid w:val="002A3D4E"/>
    <w:rsid w:val="002B1E11"/>
    <w:rsid w:val="002B2AE3"/>
    <w:rsid w:val="002C0F4A"/>
    <w:rsid w:val="002C1D9C"/>
    <w:rsid w:val="002C5141"/>
    <w:rsid w:val="002C5514"/>
    <w:rsid w:val="002C78E0"/>
    <w:rsid w:val="002D020D"/>
    <w:rsid w:val="002D09B3"/>
    <w:rsid w:val="002D2EE7"/>
    <w:rsid w:val="002D6312"/>
    <w:rsid w:val="002D6AEA"/>
    <w:rsid w:val="002F07C6"/>
    <w:rsid w:val="002F10A6"/>
    <w:rsid w:val="00301933"/>
    <w:rsid w:val="003029A8"/>
    <w:rsid w:val="00313233"/>
    <w:rsid w:val="0031486B"/>
    <w:rsid w:val="003164C9"/>
    <w:rsid w:val="00333FEC"/>
    <w:rsid w:val="00343CB0"/>
    <w:rsid w:val="00345E2E"/>
    <w:rsid w:val="00346B67"/>
    <w:rsid w:val="00347E10"/>
    <w:rsid w:val="003524F1"/>
    <w:rsid w:val="003735E2"/>
    <w:rsid w:val="00376913"/>
    <w:rsid w:val="003776A8"/>
    <w:rsid w:val="00381347"/>
    <w:rsid w:val="003826CC"/>
    <w:rsid w:val="00392E9F"/>
    <w:rsid w:val="003939EF"/>
    <w:rsid w:val="003956F3"/>
    <w:rsid w:val="003A09B0"/>
    <w:rsid w:val="003A2D65"/>
    <w:rsid w:val="003B06F5"/>
    <w:rsid w:val="003B09B8"/>
    <w:rsid w:val="003B359E"/>
    <w:rsid w:val="003B78CE"/>
    <w:rsid w:val="003C235E"/>
    <w:rsid w:val="003D7484"/>
    <w:rsid w:val="003E3200"/>
    <w:rsid w:val="003E3732"/>
    <w:rsid w:val="003F3573"/>
    <w:rsid w:val="004054C6"/>
    <w:rsid w:val="00405513"/>
    <w:rsid w:val="0040661C"/>
    <w:rsid w:val="00410DEF"/>
    <w:rsid w:val="00421794"/>
    <w:rsid w:val="0042585E"/>
    <w:rsid w:val="00427B27"/>
    <w:rsid w:val="0044020F"/>
    <w:rsid w:val="00445B08"/>
    <w:rsid w:val="00451999"/>
    <w:rsid w:val="00455AC4"/>
    <w:rsid w:val="004614A7"/>
    <w:rsid w:val="00463B9E"/>
    <w:rsid w:val="00465985"/>
    <w:rsid w:val="004702E5"/>
    <w:rsid w:val="00473C31"/>
    <w:rsid w:val="00477644"/>
    <w:rsid w:val="00480319"/>
    <w:rsid w:val="004951EC"/>
    <w:rsid w:val="00496860"/>
    <w:rsid w:val="004A2134"/>
    <w:rsid w:val="004A576B"/>
    <w:rsid w:val="004A7F49"/>
    <w:rsid w:val="004B03D0"/>
    <w:rsid w:val="004B127D"/>
    <w:rsid w:val="004B2B87"/>
    <w:rsid w:val="004B40F9"/>
    <w:rsid w:val="004D00DC"/>
    <w:rsid w:val="004D5A87"/>
    <w:rsid w:val="00502F65"/>
    <w:rsid w:val="00504312"/>
    <w:rsid w:val="00506C1D"/>
    <w:rsid w:val="00513FE8"/>
    <w:rsid w:val="00514404"/>
    <w:rsid w:val="00515BA0"/>
    <w:rsid w:val="00523917"/>
    <w:rsid w:val="00524A75"/>
    <w:rsid w:val="00531EEF"/>
    <w:rsid w:val="0053633E"/>
    <w:rsid w:val="00537E23"/>
    <w:rsid w:val="0054274D"/>
    <w:rsid w:val="00542DD8"/>
    <w:rsid w:val="00545EAD"/>
    <w:rsid w:val="00546F32"/>
    <w:rsid w:val="00547D85"/>
    <w:rsid w:val="00547F07"/>
    <w:rsid w:val="005633AA"/>
    <w:rsid w:val="00566BA2"/>
    <w:rsid w:val="00576E6C"/>
    <w:rsid w:val="0058317A"/>
    <w:rsid w:val="00591C0E"/>
    <w:rsid w:val="00592130"/>
    <w:rsid w:val="00595275"/>
    <w:rsid w:val="005A240A"/>
    <w:rsid w:val="005A7F87"/>
    <w:rsid w:val="005B02D2"/>
    <w:rsid w:val="005C6AB2"/>
    <w:rsid w:val="005C6BDC"/>
    <w:rsid w:val="005D06B5"/>
    <w:rsid w:val="005D0CCE"/>
    <w:rsid w:val="005E356C"/>
    <w:rsid w:val="005F007E"/>
    <w:rsid w:val="005F0997"/>
    <w:rsid w:val="005F29A3"/>
    <w:rsid w:val="005F4961"/>
    <w:rsid w:val="005F4D6D"/>
    <w:rsid w:val="005F6A4F"/>
    <w:rsid w:val="005F789D"/>
    <w:rsid w:val="00601BE2"/>
    <w:rsid w:val="00603253"/>
    <w:rsid w:val="00611237"/>
    <w:rsid w:val="006146AE"/>
    <w:rsid w:val="00614C92"/>
    <w:rsid w:val="006315E8"/>
    <w:rsid w:val="00633F3C"/>
    <w:rsid w:val="0063753A"/>
    <w:rsid w:val="00641634"/>
    <w:rsid w:val="00644291"/>
    <w:rsid w:val="006454C5"/>
    <w:rsid w:val="0065257E"/>
    <w:rsid w:val="0066641F"/>
    <w:rsid w:val="006819DF"/>
    <w:rsid w:val="0069137E"/>
    <w:rsid w:val="00696D26"/>
    <w:rsid w:val="006C05AD"/>
    <w:rsid w:val="006C1EE1"/>
    <w:rsid w:val="006C3581"/>
    <w:rsid w:val="006C5AA9"/>
    <w:rsid w:val="006C6CC4"/>
    <w:rsid w:val="006D694B"/>
    <w:rsid w:val="006E0465"/>
    <w:rsid w:val="006E2B81"/>
    <w:rsid w:val="006F2572"/>
    <w:rsid w:val="007013C6"/>
    <w:rsid w:val="00701627"/>
    <w:rsid w:val="00702190"/>
    <w:rsid w:val="00702958"/>
    <w:rsid w:val="00717FA8"/>
    <w:rsid w:val="00717FCA"/>
    <w:rsid w:val="00721C83"/>
    <w:rsid w:val="007252D9"/>
    <w:rsid w:val="00735F4F"/>
    <w:rsid w:val="00736FDE"/>
    <w:rsid w:val="007372A1"/>
    <w:rsid w:val="00740D38"/>
    <w:rsid w:val="0074112C"/>
    <w:rsid w:val="00744AB2"/>
    <w:rsid w:val="00751CDC"/>
    <w:rsid w:val="007561FF"/>
    <w:rsid w:val="00774F64"/>
    <w:rsid w:val="00776A35"/>
    <w:rsid w:val="00783671"/>
    <w:rsid w:val="00785C0D"/>
    <w:rsid w:val="007866E0"/>
    <w:rsid w:val="00787B88"/>
    <w:rsid w:val="00791988"/>
    <w:rsid w:val="007973C2"/>
    <w:rsid w:val="007A13E9"/>
    <w:rsid w:val="007A54F6"/>
    <w:rsid w:val="007A62C1"/>
    <w:rsid w:val="007B5F73"/>
    <w:rsid w:val="007C185F"/>
    <w:rsid w:val="007D4F8C"/>
    <w:rsid w:val="007E4BBE"/>
    <w:rsid w:val="007E60E9"/>
    <w:rsid w:val="007F4190"/>
    <w:rsid w:val="00812E14"/>
    <w:rsid w:val="0081377F"/>
    <w:rsid w:val="00814BCD"/>
    <w:rsid w:val="00822C81"/>
    <w:rsid w:val="008259E0"/>
    <w:rsid w:val="00834C78"/>
    <w:rsid w:val="00850A45"/>
    <w:rsid w:val="00853DE6"/>
    <w:rsid w:val="00856FFA"/>
    <w:rsid w:val="00860909"/>
    <w:rsid w:val="008629F7"/>
    <w:rsid w:val="00871DF1"/>
    <w:rsid w:val="00882CE9"/>
    <w:rsid w:val="0088694D"/>
    <w:rsid w:val="008917B2"/>
    <w:rsid w:val="00892E08"/>
    <w:rsid w:val="00893049"/>
    <w:rsid w:val="00893FAB"/>
    <w:rsid w:val="008A7F03"/>
    <w:rsid w:val="008B3CBA"/>
    <w:rsid w:val="008B7368"/>
    <w:rsid w:val="008C0B7E"/>
    <w:rsid w:val="008C619E"/>
    <w:rsid w:val="008D1609"/>
    <w:rsid w:val="008D4565"/>
    <w:rsid w:val="008D655E"/>
    <w:rsid w:val="008F73D0"/>
    <w:rsid w:val="008F7521"/>
    <w:rsid w:val="008F7827"/>
    <w:rsid w:val="00900D37"/>
    <w:rsid w:val="009122D3"/>
    <w:rsid w:val="0093682B"/>
    <w:rsid w:val="00944C27"/>
    <w:rsid w:val="0094769C"/>
    <w:rsid w:val="00957E46"/>
    <w:rsid w:val="009731BE"/>
    <w:rsid w:val="00984398"/>
    <w:rsid w:val="0098679E"/>
    <w:rsid w:val="00994F02"/>
    <w:rsid w:val="0099701D"/>
    <w:rsid w:val="009A40A7"/>
    <w:rsid w:val="009A79F6"/>
    <w:rsid w:val="009C2683"/>
    <w:rsid w:val="009C48C0"/>
    <w:rsid w:val="009D6DAC"/>
    <w:rsid w:val="009E2358"/>
    <w:rsid w:val="009E5426"/>
    <w:rsid w:val="009F7865"/>
    <w:rsid w:val="00A0426D"/>
    <w:rsid w:val="00A05D60"/>
    <w:rsid w:val="00A10401"/>
    <w:rsid w:val="00A10B73"/>
    <w:rsid w:val="00A11204"/>
    <w:rsid w:val="00A11460"/>
    <w:rsid w:val="00A11A3D"/>
    <w:rsid w:val="00A16163"/>
    <w:rsid w:val="00A22045"/>
    <w:rsid w:val="00A24B4D"/>
    <w:rsid w:val="00A311FC"/>
    <w:rsid w:val="00A36E88"/>
    <w:rsid w:val="00A407B0"/>
    <w:rsid w:val="00A6035A"/>
    <w:rsid w:val="00A60714"/>
    <w:rsid w:val="00A61ECC"/>
    <w:rsid w:val="00A740C2"/>
    <w:rsid w:val="00A766C3"/>
    <w:rsid w:val="00A84479"/>
    <w:rsid w:val="00A85477"/>
    <w:rsid w:val="00A90F06"/>
    <w:rsid w:val="00A9270E"/>
    <w:rsid w:val="00A9419E"/>
    <w:rsid w:val="00A94945"/>
    <w:rsid w:val="00AA1496"/>
    <w:rsid w:val="00AA27E9"/>
    <w:rsid w:val="00AA3969"/>
    <w:rsid w:val="00AA67A2"/>
    <w:rsid w:val="00AA6A6C"/>
    <w:rsid w:val="00AB0E37"/>
    <w:rsid w:val="00AC45BA"/>
    <w:rsid w:val="00AC7E3A"/>
    <w:rsid w:val="00AD2849"/>
    <w:rsid w:val="00AD404F"/>
    <w:rsid w:val="00AE1484"/>
    <w:rsid w:val="00AE4270"/>
    <w:rsid w:val="00AF2EC5"/>
    <w:rsid w:val="00AF30EE"/>
    <w:rsid w:val="00AF3D8D"/>
    <w:rsid w:val="00AF5B0C"/>
    <w:rsid w:val="00AF6A39"/>
    <w:rsid w:val="00B025E4"/>
    <w:rsid w:val="00B049F8"/>
    <w:rsid w:val="00B04D10"/>
    <w:rsid w:val="00B07D51"/>
    <w:rsid w:val="00B15AE7"/>
    <w:rsid w:val="00B2150A"/>
    <w:rsid w:val="00B262BA"/>
    <w:rsid w:val="00B327BF"/>
    <w:rsid w:val="00B35ACA"/>
    <w:rsid w:val="00B45537"/>
    <w:rsid w:val="00B51246"/>
    <w:rsid w:val="00B65E99"/>
    <w:rsid w:val="00B70BB4"/>
    <w:rsid w:val="00B75855"/>
    <w:rsid w:val="00B83676"/>
    <w:rsid w:val="00B8787C"/>
    <w:rsid w:val="00B97DE6"/>
    <w:rsid w:val="00BA4ECB"/>
    <w:rsid w:val="00BA7FA0"/>
    <w:rsid w:val="00BB3E2B"/>
    <w:rsid w:val="00BB620E"/>
    <w:rsid w:val="00BC0C57"/>
    <w:rsid w:val="00BC54B6"/>
    <w:rsid w:val="00BC6FE3"/>
    <w:rsid w:val="00BD2016"/>
    <w:rsid w:val="00BD6351"/>
    <w:rsid w:val="00BE4348"/>
    <w:rsid w:val="00BE4D1F"/>
    <w:rsid w:val="00BF210B"/>
    <w:rsid w:val="00C0662A"/>
    <w:rsid w:val="00C06C88"/>
    <w:rsid w:val="00C10374"/>
    <w:rsid w:val="00C20896"/>
    <w:rsid w:val="00C20ECB"/>
    <w:rsid w:val="00C21D37"/>
    <w:rsid w:val="00C30DF8"/>
    <w:rsid w:val="00C37ECB"/>
    <w:rsid w:val="00C50C24"/>
    <w:rsid w:val="00C51ED0"/>
    <w:rsid w:val="00C56096"/>
    <w:rsid w:val="00C646E0"/>
    <w:rsid w:val="00C82CEA"/>
    <w:rsid w:val="00C85AF3"/>
    <w:rsid w:val="00C87E51"/>
    <w:rsid w:val="00C94988"/>
    <w:rsid w:val="00CA00A7"/>
    <w:rsid w:val="00CA5BBD"/>
    <w:rsid w:val="00CB0CF7"/>
    <w:rsid w:val="00CB6D3D"/>
    <w:rsid w:val="00CB6E95"/>
    <w:rsid w:val="00CC44FC"/>
    <w:rsid w:val="00CC5009"/>
    <w:rsid w:val="00CC72BF"/>
    <w:rsid w:val="00CD3691"/>
    <w:rsid w:val="00CD4E84"/>
    <w:rsid w:val="00CE006E"/>
    <w:rsid w:val="00CE1ED5"/>
    <w:rsid w:val="00CE5CA9"/>
    <w:rsid w:val="00CE6AEF"/>
    <w:rsid w:val="00CF13F4"/>
    <w:rsid w:val="00CF2F31"/>
    <w:rsid w:val="00D05AF2"/>
    <w:rsid w:val="00D14267"/>
    <w:rsid w:val="00D14EA2"/>
    <w:rsid w:val="00D3204A"/>
    <w:rsid w:val="00D333EF"/>
    <w:rsid w:val="00D33666"/>
    <w:rsid w:val="00D33AAE"/>
    <w:rsid w:val="00D44944"/>
    <w:rsid w:val="00D50355"/>
    <w:rsid w:val="00D62BEA"/>
    <w:rsid w:val="00D62C46"/>
    <w:rsid w:val="00D63E0D"/>
    <w:rsid w:val="00D6462A"/>
    <w:rsid w:val="00D64AA9"/>
    <w:rsid w:val="00D6578F"/>
    <w:rsid w:val="00D7016E"/>
    <w:rsid w:val="00D70956"/>
    <w:rsid w:val="00D768D6"/>
    <w:rsid w:val="00D9169D"/>
    <w:rsid w:val="00D91FB6"/>
    <w:rsid w:val="00DA00AA"/>
    <w:rsid w:val="00DA780C"/>
    <w:rsid w:val="00DA7B9C"/>
    <w:rsid w:val="00DC23A9"/>
    <w:rsid w:val="00DD178A"/>
    <w:rsid w:val="00DD20B9"/>
    <w:rsid w:val="00DD3651"/>
    <w:rsid w:val="00DD4338"/>
    <w:rsid w:val="00DD6CBF"/>
    <w:rsid w:val="00DD79D5"/>
    <w:rsid w:val="00DF1A76"/>
    <w:rsid w:val="00DF41D9"/>
    <w:rsid w:val="00E05E50"/>
    <w:rsid w:val="00E0742C"/>
    <w:rsid w:val="00E074E9"/>
    <w:rsid w:val="00E10470"/>
    <w:rsid w:val="00E15CC8"/>
    <w:rsid w:val="00E205F6"/>
    <w:rsid w:val="00E20CFA"/>
    <w:rsid w:val="00E233D1"/>
    <w:rsid w:val="00E26749"/>
    <w:rsid w:val="00E35D58"/>
    <w:rsid w:val="00E3651A"/>
    <w:rsid w:val="00E569E1"/>
    <w:rsid w:val="00E7344A"/>
    <w:rsid w:val="00E73513"/>
    <w:rsid w:val="00E7492E"/>
    <w:rsid w:val="00E91B4F"/>
    <w:rsid w:val="00EA68F7"/>
    <w:rsid w:val="00EB12B4"/>
    <w:rsid w:val="00EB3C46"/>
    <w:rsid w:val="00EB784F"/>
    <w:rsid w:val="00EC3866"/>
    <w:rsid w:val="00ED3AB7"/>
    <w:rsid w:val="00EE1F30"/>
    <w:rsid w:val="00EE3015"/>
    <w:rsid w:val="00F14167"/>
    <w:rsid w:val="00F15829"/>
    <w:rsid w:val="00F15841"/>
    <w:rsid w:val="00F25D54"/>
    <w:rsid w:val="00F26CA7"/>
    <w:rsid w:val="00F271B2"/>
    <w:rsid w:val="00F2756C"/>
    <w:rsid w:val="00F327BE"/>
    <w:rsid w:val="00F43841"/>
    <w:rsid w:val="00F441DC"/>
    <w:rsid w:val="00F55699"/>
    <w:rsid w:val="00F633B2"/>
    <w:rsid w:val="00F64833"/>
    <w:rsid w:val="00F74343"/>
    <w:rsid w:val="00F7540E"/>
    <w:rsid w:val="00F75D69"/>
    <w:rsid w:val="00F761F6"/>
    <w:rsid w:val="00F765E1"/>
    <w:rsid w:val="00F80995"/>
    <w:rsid w:val="00F85B59"/>
    <w:rsid w:val="00F97A3C"/>
    <w:rsid w:val="00FA10E0"/>
    <w:rsid w:val="00FA5D37"/>
    <w:rsid w:val="00FC2A7D"/>
    <w:rsid w:val="00FC3557"/>
    <w:rsid w:val="00FC4530"/>
    <w:rsid w:val="00FD03AD"/>
    <w:rsid w:val="00FD1434"/>
    <w:rsid w:val="00FD65B6"/>
    <w:rsid w:val="00FD6EB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p-n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1018</Words>
  <Characters>7685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8686</CharactersWithSpaces>
  <SharedDoc>false</SharedDoc>
  <HLinks>
    <vt:vector size="6" baseType="variant"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Андрей Ходус</cp:lastModifiedBy>
  <cp:revision>3</cp:revision>
  <cp:lastPrinted>2021-03-02T12:34:00Z</cp:lastPrinted>
  <dcterms:created xsi:type="dcterms:W3CDTF">2021-02-02T13:58:00Z</dcterms:created>
  <dcterms:modified xsi:type="dcterms:W3CDTF">2021-03-02T12:42:00Z</dcterms:modified>
</cp:coreProperties>
</file>