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«Нефтегазизыскания-Альянс»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>Российская Федерация, 107045, Москва, Ананьевский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Default="000A2160" w:rsidP="003260EC">
            <w:pPr>
              <w:rPr>
                <w:b/>
                <w:sz w:val="20"/>
                <w:szCs w:val="20"/>
              </w:rPr>
            </w:pPr>
          </w:p>
          <w:p w:rsidR="000C250F" w:rsidRPr="00D01C2B" w:rsidRDefault="000C250F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46538C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19.02.2024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46538C">
              <w:rPr>
                <w:b/>
                <w:sz w:val="16"/>
                <w:szCs w:val="16"/>
              </w:rPr>
              <w:t>342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0C250F" w:rsidRDefault="000C250F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«Нефтегазизыскания-Альянс»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«Нефтегазизыскания-Альянс»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46538C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«ЯрФинПроект», ИНН 7714378256, №346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46538C" w:rsidRPr="0046538C" w:rsidTr="0046538C">
        <w:tc>
          <w:tcPr>
            <w:tcW w:w="400" w:type="dxa"/>
            <w:vAlign w:val="center"/>
          </w:tcPr>
          <w:p w:rsidR="0046538C" w:rsidRPr="0046538C" w:rsidRDefault="0046538C" w:rsidP="0046538C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46538C" w:rsidRPr="0046538C" w:rsidRDefault="0046538C" w:rsidP="0046538C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46538C" w:rsidRPr="0046538C" w:rsidRDefault="0046538C" w:rsidP="0046538C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  <w:tr w:rsidR="0046538C" w:rsidRPr="0046538C" w:rsidTr="0046538C">
        <w:tc>
          <w:tcPr>
            <w:tcW w:w="400" w:type="dxa"/>
            <w:vAlign w:val="center"/>
          </w:tcPr>
          <w:p w:rsidR="0046538C" w:rsidRPr="0046538C" w:rsidRDefault="0046538C" w:rsidP="0046538C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46538C" w:rsidRPr="0046538C" w:rsidRDefault="0046538C" w:rsidP="0046538C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 нахождения юридического лица</w:t>
            </w:r>
          </w:p>
        </w:tc>
        <w:tc>
          <w:tcPr>
            <w:tcW w:w="4455" w:type="dxa"/>
            <w:vAlign w:val="center"/>
          </w:tcPr>
          <w:p w:rsidR="0046538C" w:rsidRPr="0046538C" w:rsidRDefault="0046538C" w:rsidP="0046538C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125445,  РФ, г. Москва,  вн.тер.г.муниц.округ Левобережный, ул. Смольная, д. 50А, стр.3, эт./помещ.бокс 1/40</w:t>
            </w:r>
          </w:p>
        </w:tc>
      </w:tr>
      <w:tr w:rsidR="0046538C" w:rsidRPr="0046538C" w:rsidTr="0046538C">
        <w:tc>
          <w:tcPr>
            <w:tcW w:w="400" w:type="dxa"/>
            <w:vAlign w:val="center"/>
          </w:tcPr>
          <w:p w:rsidR="0046538C" w:rsidRPr="0046538C" w:rsidRDefault="0046538C" w:rsidP="0046538C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46538C" w:rsidRPr="0046538C" w:rsidRDefault="0046538C" w:rsidP="0046538C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Номера контактных телефонов юридического лица</w:t>
            </w:r>
          </w:p>
        </w:tc>
        <w:tc>
          <w:tcPr>
            <w:tcW w:w="4455" w:type="dxa"/>
            <w:vAlign w:val="center"/>
          </w:tcPr>
          <w:p w:rsidR="0046538C" w:rsidRPr="0046538C" w:rsidRDefault="0046538C" w:rsidP="0046538C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+7 (925) 170-30-07</w:t>
            </w:r>
          </w:p>
        </w:tc>
      </w:tr>
      <w:tr w:rsidR="0046538C" w:rsidRPr="0046538C" w:rsidTr="0046538C">
        <w:tc>
          <w:tcPr>
            <w:tcW w:w="400" w:type="dxa"/>
            <w:vAlign w:val="center"/>
          </w:tcPr>
          <w:p w:rsidR="0046538C" w:rsidRPr="0046538C" w:rsidRDefault="0046538C" w:rsidP="0046538C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46538C" w:rsidRPr="0046538C" w:rsidRDefault="0046538C" w:rsidP="0046538C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      </w:r>
          </w:p>
        </w:tc>
        <w:tc>
          <w:tcPr>
            <w:tcW w:w="4455" w:type="dxa"/>
            <w:vAlign w:val="center"/>
          </w:tcPr>
          <w:p w:rsidR="0046538C" w:rsidRPr="0046538C" w:rsidRDefault="0046538C" w:rsidP="0046538C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Управляющий-Индивидуальный предприниматель Жердецкий Юрий Анатольевич</w:t>
            </w:r>
          </w:p>
        </w:tc>
      </w:tr>
    </w:tbl>
    <w:p w:rsidR="0046538C" w:rsidRPr="002372A0" w:rsidRDefault="0046538C" w:rsidP="001332F3">
      <w:pPr>
        <w:spacing w:line="276" w:lineRule="auto"/>
        <w:jc w:val="both"/>
        <w:rPr>
          <w:sz w:val="20"/>
          <w:szCs w:val="20"/>
        </w:rPr>
      </w:pPr>
    </w:p>
    <w:p w:rsidR="001332F3" w:rsidRPr="002372A0" w:rsidRDefault="001332F3" w:rsidP="001332F3">
      <w:pPr>
        <w:spacing w:line="276" w:lineRule="auto"/>
        <w:jc w:val="both"/>
        <w:rPr>
          <w:sz w:val="20"/>
          <w:szCs w:val="20"/>
        </w:rPr>
      </w:pPr>
    </w:p>
    <w:p w:rsidR="008414FD" w:rsidRDefault="008414FD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46538C" w:rsidRDefault="0046538C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4" w:name="prikaz3"/>
      <w:bookmarkEnd w:id="4"/>
      <w:r>
        <w:rPr>
          <w:sz w:val="20"/>
          <w:szCs w:val="20"/>
        </w:rPr>
        <w:t>2. В отношении члена Ассоциации ООО «ИНЖЕНЕР», ИНН 7743144189, №372 в реестре членов Ассоциации, внести следующие сведения:</w:t>
      </w:r>
    </w:p>
    <w:p w:rsidR="0046538C" w:rsidRDefault="0046538C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46538C" w:rsidRPr="0046538C" w:rsidTr="0046538C">
        <w:tc>
          <w:tcPr>
            <w:tcW w:w="400" w:type="dxa"/>
            <w:vAlign w:val="center"/>
          </w:tcPr>
          <w:p w:rsidR="0046538C" w:rsidRPr="0046538C" w:rsidRDefault="0046538C" w:rsidP="0046538C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5" w:name="mark3"/>
            <w:bookmarkEnd w:id="5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46538C" w:rsidRPr="0046538C" w:rsidRDefault="0046538C" w:rsidP="0046538C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46538C" w:rsidRPr="0046538C" w:rsidRDefault="0046538C" w:rsidP="0046538C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  <w:tr w:rsidR="0046538C" w:rsidRPr="0046538C" w:rsidTr="0046538C">
        <w:tc>
          <w:tcPr>
            <w:tcW w:w="400" w:type="dxa"/>
            <w:vAlign w:val="center"/>
          </w:tcPr>
          <w:p w:rsidR="0046538C" w:rsidRPr="0046538C" w:rsidRDefault="0046538C" w:rsidP="0046538C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46538C" w:rsidRPr="0046538C" w:rsidRDefault="0046538C" w:rsidP="0046538C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 нахождения юридического лица</w:t>
            </w:r>
          </w:p>
        </w:tc>
        <w:tc>
          <w:tcPr>
            <w:tcW w:w="4455" w:type="dxa"/>
            <w:vAlign w:val="center"/>
          </w:tcPr>
          <w:p w:rsidR="0046538C" w:rsidRPr="0046538C" w:rsidRDefault="0046538C" w:rsidP="0046538C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117420, РФ, г. Москва, вн.тер.г.муниц.округ Черемушки, ул. Намёткина, д. 14,  к. 2</w:t>
            </w:r>
          </w:p>
        </w:tc>
      </w:tr>
      <w:tr w:rsidR="0046538C" w:rsidRPr="0046538C" w:rsidTr="0046538C">
        <w:tc>
          <w:tcPr>
            <w:tcW w:w="400" w:type="dxa"/>
            <w:vAlign w:val="center"/>
          </w:tcPr>
          <w:p w:rsidR="0046538C" w:rsidRPr="0046538C" w:rsidRDefault="0046538C" w:rsidP="0046538C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46538C" w:rsidRPr="0046538C" w:rsidRDefault="0046538C" w:rsidP="0046538C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Сведения о размере взноса в компенсационный фонд обеспечения договорных обязательств </w:t>
            </w:r>
          </w:p>
        </w:tc>
        <w:tc>
          <w:tcPr>
            <w:tcW w:w="4455" w:type="dxa"/>
            <w:vAlign w:val="center"/>
          </w:tcPr>
          <w:p w:rsidR="0046538C" w:rsidRPr="0046538C" w:rsidRDefault="0046538C" w:rsidP="0046538C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350000 р.</w:t>
            </w:r>
          </w:p>
        </w:tc>
      </w:tr>
      <w:tr w:rsidR="0046538C" w:rsidRPr="0046538C" w:rsidTr="0046538C">
        <w:tc>
          <w:tcPr>
            <w:tcW w:w="400" w:type="dxa"/>
            <w:vAlign w:val="center"/>
          </w:tcPr>
          <w:p w:rsidR="0046538C" w:rsidRPr="0046538C" w:rsidRDefault="0046538C" w:rsidP="0046538C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46538C" w:rsidRPr="0046538C" w:rsidRDefault="0046538C" w:rsidP="0046538C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Дата уплаты взноса (дополнительного взноса) в компенсационный фонд обеспечения договорных обязательств саморегулируемой организации</w:t>
            </w:r>
          </w:p>
        </w:tc>
        <w:tc>
          <w:tcPr>
            <w:tcW w:w="4455" w:type="dxa"/>
            <w:vAlign w:val="center"/>
          </w:tcPr>
          <w:p w:rsidR="0046538C" w:rsidRPr="0046538C" w:rsidRDefault="0046538C" w:rsidP="0046538C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</w:t>
            </w:r>
            <w:r w:rsidR="000C250F">
              <w:rPr>
                <w:sz w:val="16"/>
                <w:szCs w:val="20"/>
              </w:rPr>
              <w:t>19.02.2024 (дополнительный взнос)</w:t>
            </w:r>
          </w:p>
        </w:tc>
      </w:tr>
      <w:tr w:rsidR="0046538C" w:rsidRPr="0046538C" w:rsidTr="0046538C">
        <w:tc>
          <w:tcPr>
            <w:tcW w:w="400" w:type="dxa"/>
            <w:vAlign w:val="center"/>
          </w:tcPr>
          <w:p w:rsidR="0046538C" w:rsidRPr="0046538C" w:rsidRDefault="0046538C" w:rsidP="0046538C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46538C" w:rsidRPr="0046538C" w:rsidRDefault="0046538C" w:rsidP="0046538C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Дата приостановления права выполнять инженерные изыскания</w:t>
            </w:r>
          </w:p>
        </w:tc>
        <w:tc>
          <w:tcPr>
            <w:tcW w:w="4455" w:type="dxa"/>
            <w:vAlign w:val="center"/>
          </w:tcPr>
          <w:p w:rsidR="0046538C" w:rsidRPr="0046538C" w:rsidRDefault="0046538C" w:rsidP="0046538C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</w:t>
            </w:r>
          </w:p>
        </w:tc>
      </w:tr>
      <w:tr w:rsidR="0046538C" w:rsidRPr="0046538C" w:rsidTr="0046538C">
        <w:tc>
          <w:tcPr>
            <w:tcW w:w="400" w:type="dxa"/>
            <w:vAlign w:val="center"/>
          </w:tcPr>
          <w:p w:rsidR="0046538C" w:rsidRPr="0046538C" w:rsidRDefault="0046538C" w:rsidP="0046538C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46538C" w:rsidRPr="0046538C" w:rsidRDefault="0046538C" w:rsidP="0046538C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Сведения о наличии (отсутствии) у члена саморегулируемой организации права выполнять инженерные изыскания для строительства особо опасных, технически сложных и уникальных объектов, кроме объектов использования атомной энергии (о соответствии члена саморегулируемой организации установленным в соответствии с частью 8 статьи 55.5 Градостроительного кодекса Российской Федерации требованиям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ремонт, снос особо опасных, технически сложных и уникальных объектов, за исключением объектов использования атомной энергии).</w:t>
            </w:r>
          </w:p>
        </w:tc>
        <w:tc>
          <w:tcPr>
            <w:tcW w:w="4455" w:type="dxa"/>
            <w:vAlign w:val="center"/>
          </w:tcPr>
          <w:p w:rsidR="0046538C" w:rsidRPr="0046538C" w:rsidRDefault="00471D7C" w:rsidP="0046538C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Имеет право с 19.02.2024</w:t>
            </w:r>
          </w:p>
        </w:tc>
      </w:tr>
      <w:tr w:rsidR="0046538C" w:rsidRPr="0046538C" w:rsidTr="0046538C">
        <w:tc>
          <w:tcPr>
            <w:tcW w:w="400" w:type="dxa"/>
            <w:vAlign w:val="center"/>
          </w:tcPr>
          <w:p w:rsidR="0046538C" w:rsidRPr="0046538C" w:rsidRDefault="0046538C" w:rsidP="0046538C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46538C" w:rsidRPr="0046538C" w:rsidRDefault="0046538C" w:rsidP="0046538C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Уровень ответственности члена саморегулируемой организации по обязательствам по договорам подряда на выполнение инженерных изысканий, в соответствии с которыми указанным членом </w:t>
            </w:r>
            <w:r>
              <w:rPr>
                <w:sz w:val="16"/>
                <w:szCs w:val="20"/>
              </w:rPr>
              <w:lastRenderedPageBreak/>
              <w:t>саморегулируемой организации внесен взнос в компенсационный фонд обеспечения договорных обязательств.</w:t>
            </w:r>
          </w:p>
        </w:tc>
        <w:tc>
          <w:tcPr>
            <w:tcW w:w="4455" w:type="dxa"/>
            <w:vAlign w:val="center"/>
          </w:tcPr>
          <w:p w:rsidR="0046538C" w:rsidRPr="0046538C" w:rsidRDefault="0046538C" w:rsidP="0046538C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lastRenderedPageBreak/>
              <w:t xml:space="preserve">2 (предельный размер обязательств по договорам подряда на выполнение инженерных изысканий с использованием конкурентных способов заключения договоров не превышает </w:t>
            </w:r>
            <w:r>
              <w:rPr>
                <w:sz w:val="16"/>
                <w:szCs w:val="20"/>
              </w:rPr>
              <w:lastRenderedPageBreak/>
              <w:t>пятьдесят миллионов рублей)</w:t>
            </w:r>
          </w:p>
        </w:tc>
      </w:tr>
    </w:tbl>
    <w:p w:rsidR="0046538C" w:rsidRDefault="0046538C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6" w:name="_GoBack"/>
      <w:bookmarkEnd w:id="6"/>
    </w:p>
    <w:p w:rsidR="0046538C" w:rsidRDefault="0046538C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46538C" w:rsidRPr="002372A0" w:rsidRDefault="0046538C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7" w:name="prikaz5"/>
      <w:bookmarkStart w:id="8" w:name="mark5"/>
      <w:bookmarkEnd w:id="7"/>
      <w:bookmarkEnd w:id="8"/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64271E"/>
    <w:multiLevelType w:val="hybridMultilevel"/>
    <w:tmpl w:val="C2A4B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7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E964DC0"/>
    <w:multiLevelType w:val="hybridMultilevel"/>
    <w:tmpl w:val="1D664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13"/>
  </w:num>
  <w:num w:numId="5">
    <w:abstractNumId w:val="4"/>
  </w:num>
  <w:num w:numId="6">
    <w:abstractNumId w:val="5"/>
  </w:num>
  <w:num w:numId="7">
    <w:abstractNumId w:val="17"/>
  </w:num>
  <w:num w:numId="8">
    <w:abstractNumId w:val="2"/>
  </w:num>
  <w:num w:numId="9">
    <w:abstractNumId w:val="11"/>
  </w:num>
  <w:num w:numId="10">
    <w:abstractNumId w:val="9"/>
  </w:num>
  <w:num w:numId="11">
    <w:abstractNumId w:val="21"/>
  </w:num>
  <w:num w:numId="12">
    <w:abstractNumId w:val="10"/>
  </w:num>
  <w:num w:numId="13">
    <w:abstractNumId w:val="7"/>
  </w:num>
  <w:num w:numId="14">
    <w:abstractNumId w:val="14"/>
  </w:num>
  <w:num w:numId="15">
    <w:abstractNumId w:val="19"/>
  </w:num>
  <w:num w:numId="16">
    <w:abstractNumId w:val="0"/>
  </w:num>
  <w:num w:numId="17">
    <w:abstractNumId w:val="15"/>
  </w:num>
  <w:num w:numId="18">
    <w:abstractNumId w:val="16"/>
  </w:num>
  <w:num w:numId="19">
    <w:abstractNumId w:val="12"/>
  </w:num>
  <w:num w:numId="20">
    <w:abstractNumId w:val="6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50F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538C"/>
    <w:rsid w:val="004660EB"/>
    <w:rsid w:val="004676D9"/>
    <w:rsid w:val="00467C33"/>
    <w:rsid w:val="00471D7C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2868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3189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5</cp:revision>
  <cp:lastPrinted>2024-02-19T10:25:00Z</cp:lastPrinted>
  <dcterms:created xsi:type="dcterms:W3CDTF">2024-02-19T10:14:00Z</dcterms:created>
  <dcterms:modified xsi:type="dcterms:W3CDTF">2024-02-19T10:57:00Z</dcterms:modified>
</cp:coreProperties>
</file>