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96"/>
        <w:gridCol w:w="1532"/>
        <w:gridCol w:w="5260"/>
      </w:tblGrid>
      <w:tr w:rsidR="007D710B" w:rsidTr="008A3E3D">
        <w:tc>
          <w:tcPr>
            <w:tcW w:w="3396" w:type="dxa"/>
            <w:shd w:val="clear" w:color="auto" w:fill="auto"/>
          </w:tcPr>
          <w:p w:rsidR="007D710B" w:rsidRDefault="007D710B" w:rsidP="008A3E3D">
            <w:pPr>
              <w:ind w:firstLine="0"/>
            </w:pPr>
          </w:p>
        </w:tc>
        <w:tc>
          <w:tcPr>
            <w:tcW w:w="1532" w:type="dxa"/>
            <w:shd w:val="clear" w:color="auto" w:fill="auto"/>
          </w:tcPr>
          <w:p w:rsidR="007D710B" w:rsidRDefault="007D710B" w:rsidP="008A3E3D">
            <w:pPr>
              <w:ind w:firstLine="0"/>
            </w:pPr>
          </w:p>
        </w:tc>
        <w:tc>
          <w:tcPr>
            <w:tcW w:w="5260" w:type="dxa"/>
            <w:vMerge w:val="restart"/>
            <w:shd w:val="clear" w:color="auto" w:fill="auto"/>
          </w:tcPr>
          <w:p w:rsidR="007D710B" w:rsidRDefault="007D710B" w:rsidP="008A3E3D">
            <w:pPr>
              <w:spacing w:line="276" w:lineRule="auto"/>
              <w:ind w:firstLine="0"/>
            </w:pPr>
            <w:r>
              <w:t>УТВЕРЖДЕНО</w:t>
            </w:r>
          </w:p>
          <w:p w:rsidR="007D710B" w:rsidRDefault="007D710B" w:rsidP="008A3E3D">
            <w:pPr>
              <w:spacing w:line="276" w:lineRule="auto"/>
              <w:ind w:firstLine="0"/>
            </w:pPr>
            <w:r>
              <w:t xml:space="preserve">Решением Общего собрания членов </w:t>
            </w:r>
          </w:p>
          <w:p w:rsidR="007D710B" w:rsidRDefault="007D710B" w:rsidP="008A3E3D">
            <w:pPr>
              <w:spacing w:line="276" w:lineRule="auto"/>
              <w:ind w:firstLine="0"/>
            </w:pPr>
            <w:r>
              <w:t>НП СРО «Нефтегазизыскания-Альянс»</w:t>
            </w:r>
          </w:p>
          <w:p w:rsidR="007D710B" w:rsidRDefault="007D710B" w:rsidP="008A3E3D">
            <w:pPr>
              <w:spacing w:line="276" w:lineRule="auto"/>
              <w:ind w:firstLine="0"/>
            </w:pPr>
            <w:r>
              <w:t xml:space="preserve">от </w:t>
            </w:r>
            <w:r w:rsidR="00B53240">
              <w:t>20</w:t>
            </w:r>
            <w:bookmarkStart w:id="0" w:name="_GoBack"/>
            <w:bookmarkEnd w:id="0"/>
            <w:r w:rsidR="00FC7485">
              <w:t>.12</w:t>
            </w:r>
            <w:r>
              <w:t>.2016, протокол № 2</w:t>
            </w:r>
            <w:r w:rsidR="00FC7485">
              <w:t>1</w:t>
            </w:r>
          </w:p>
          <w:p w:rsidR="007D710B" w:rsidRDefault="007D710B" w:rsidP="008A3E3D">
            <w:pPr>
              <w:spacing w:line="276" w:lineRule="auto"/>
              <w:ind w:firstLine="0"/>
            </w:pPr>
            <w:r>
              <w:t>Приложение 2</w:t>
            </w:r>
          </w:p>
          <w:p w:rsidR="007D710B" w:rsidRDefault="007D710B" w:rsidP="008A3E3D">
            <w:pPr>
              <w:spacing w:line="276" w:lineRule="auto"/>
              <w:ind w:firstLine="0"/>
            </w:pPr>
          </w:p>
          <w:p w:rsidR="007D710B" w:rsidRDefault="007D710B" w:rsidP="008A3E3D">
            <w:pPr>
              <w:spacing w:line="276" w:lineRule="auto"/>
              <w:ind w:firstLine="0"/>
            </w:pPr>
            <w:r>
              <w:t>Председатель</w:t>
            </w:r>
          </w:p>
          <w:p w:rsidR="007D710B" w:rsidRDefault="007D710B" w:rsidP="008A3E3D">
            <w:pPr>
              <w:spacing w:line="276" w:lineRule="auto"/>
              <w:ind w:firstLine="0"/>
            </w:pPr>
          </w:p>
          <w:p w:rsidR="007D710B" w:rsidRDefault="007D710B" w:rsidP="008A3E3D">
            <w:pPr>
              <w:spacing w:line="276" w:lineRule="auto"/>
              <w:ind w:firstLine="0"/>
            </w:pPr>
            <w:r>
              <w:t>_____________________С.В. Савенков</w:t>
            </w:r>
          </w:p>
        </w:tc>
      </w:tr>
      <w:tr w:rsidR="007D710B" w:rsidTr="008A3E3D">
        <w:tc>
          <w:tcPr>
            <w:tcW w:w="3396" w:type="dxa"/>
            <w:shd w:val="clear" w:color="auto" w:fill="auto"/>
          </w:tcPr>
          <w:p w:rsidR="007D710B" w:rsidRDefault="007D710B" w:rsidP="008A3E3D">
            <w:pPr>
              <w:ind w:firstLine="0"/>
            </w:pPr>
          </w:p>
        </w:tc>
        <w:tc>
          <w:tcPr>
            <w:tcW w:w="1532" w:type="dxa"/>
            <w:shd w:val="clear" w:color="auto" w:fill="auto"/>
          </w:tcPr>
          <w:p w:rsidR="007D710B" w:rsidRDefault="007D710B" w:rsidP="008A3E3D">
            <w:pPr>
              <w:ind w:firstLine="0"/>
            </w:pPr>
          </w:p>
        </w:tc>
        <w:tc>
          <w:tcPr>
            <w:tcW w:w="5260" w:type="dxa"/>
            <w:vMerge/>
            <w:shd w:val="clear" w:color="auto" w:fill="auto"/>
          </w:tcPr>
          <w:p w:rsidR="007D710B" w:rsidRDefault="007D710B" w:rsidP="008A3E3D">
            <w:pPr>
              <w:ind w:firstLine="0"/>
              <w:jc w:val="center"/>
            </w:pPr>
          </w:p>
        </w:tc>
      </w:tr>
      <w:tr w:rsidR="007D710B" w:rsidTr="008A3E3D">
        <w:tc>
          <w:tcPr>
            <w:tcW w:w="3396" w:type="dxa"/>
            <w:shd w:val="clear" w:color="auto" w:fill="auto"/>
          </w:tcPr>
          <w:p w:rsidR="007D710B" w:rsidRDefault="007D710B" w:rsidP="008A3E3D">
            <w:pPr>
              <w:ind w:firstLine="0"/>
            </w:pPr>
          </w:p>
        </w:tc>
        <w:tc>
          <w:tcPr>
            <w:tcW w:w="1532" w:type="dxa"/>
            <w:shd w:val="clear" w:color="auto" w:fill="auto"/>
          </w:tcPr>
          <w:p w:rsidR="007D710B" w:rsidRDefault="007D710B" w:rsidP="008A3E3D">
            <w:pPr>
              <w:ind w:firstLine="0"/>
            </w:pPr>
          </w:p>
        </w:tc>
        <w:tc>
          <w:tcPr>
            <w:tcW w:w="5260" w:type="dxa"/>
            <w:vMerge/>
            <w:shd w:val="clear" w:color="auto" w:fill="auto"/>
          </w:tcPr>
          <w:p w:rsidR="007D710B" w:rsidRDefault="007D710B" w:rsidP="008A3E3D">
            <w:pPr>
              <w:ind w:firstLine="0"/>
              <w:jc w:val="center"/>
            </w:pPr>
          </w:p>
        </w:tc>
      </w:tr>
    </w:tbl>
    <w:p w:rsidR="00126923" w:rsidRDefault="00126923" w:rsidP="00A67C53"/>
    <w:p w:rsidR="007D710B" w:rsidRDefault="007D710B" w:rsidP="00A67C53"/>
    <w:p w:rsidR="007D710B" w:rsidRDefault="007D710B" w:rsidP="00A67C53"/>
    <w:p w:rsidR="007D710B" w:rsidRDefault="007D710B" w:rsidP="00A67C53"/>
    <w:p w:rsidR="007D710B" w:rsidRDefault="007D710B" w:rsidP="00A67C53"/>
    <w:p w:rsidR="007D710B" w:rsidRDefault="007D710B" w:rsidP="00A67C53"/>
    <w:p w:rsidR="007D710B" w:rsidRPr="007D710B" w:rsidRDefault="007D710B" w:rsidP="007D710B">
      <w:pPr>
        <w:ind w:firstLine="0"/>
        <w:jc w:val="center"/>
        <w:rPr>
          <w:b/>
        </w:rPr>
      </w:pPr>
      <w:r w:rsidRPr="007D710B">
        <w:rPr>
          <w:b/>
        </w:rPr>
        <w:t>Положение о взносах</w:t>
      </w:r>
    </w:p>
    <w:p w:rsidR="007D710B" w:rsidRPr="007D710B" w:rsidRDefault="007D710B" w:rsidP="007D710B">
      <w:pPr>
        <w:ind w:firstLine="0"/>
        <w:jc w:val="center"/>
        <w:rPr>
          <w:b/>
        </w:rPr>
      </w:pPr>
      <w:r w:rsidRPr="007D710B">
        <w:rPr>
          <w:b/>
        </w:rPr>
        <w:t>НП СРО «Нефтегазизыскания-Альянс»</w:t>
      </w:r>
    </w:p>
    <w:p w:rsidR="007D710B" w:rsidRDefault="007D710B" w:rsidP="00A67C53"/>
    <w:p w:rsidR="007D710B" w:rsidRDefault="007D710B" w:rsidP="00A67C53"/>
    <w:p w:rsidR="007D710B" w:rsidRDefault="007D710B" w:rsidP="00A67C53"/>
    <w:p w:rsidR="007D710B" w:rsidRDefault="007D710B" w:rsidP="00A67C53"/>
    <w:p w:rsidR="007D710B" w:rsidRDefault="007D710B" w:rsidP="00A67C53"/>
    <w:p w:rsidR="007D710B" w:rsidRDefault="007D710B" w:rsidP="00A67C53"/>
    <w:p w:rsidR="007D710B" w:rsidRDefault="007D710B" w:rsidP="00A67C53"/>
    <w:p w:rsidR="007D710B" w:rsidRDefault="007D710B" w:rsidP="00A67C53"/>
    <w:p w:rsidR="007D710B" w:rsidRDefault="007D710B" w:rsidP="00A67C53"/>
    <w:p w:rsidR="007D710B" w:rsidRDefault="007D710B" w:rsidP="00A67C53"/>
    <w:p w:rsidR="007D710B" w:rsidRDefault="007D710B" w:rsidP="00A67C53"/>
    <w:p w:rsidR="007D710B" w:rsidRDefault="007D710B" w:rsidP="007D710B">
      <w:pPr>
        <w:ind w:firstLine="0"/>
        <w:jc w:val="center"/>
      </w:pPr>
      <w:r>
        <w:t>Москва</w:t>
      </w:r>
    </w:p>
    <w:p w:rsidR="007D710B" w:rsidRDefault="007D710B" w:rsidP="007D710B">
      <w:pPr>
        <w:ind w:firstLine="0"/>
        <w:jc w:val="center"/>
        <w:sectPr w:rsidR="007D710B" w:rsidSect="000D719C">
          <w:footerReference w:type="default" r:id="rId8"/>
          <w:pgSz w:w="12240" w:h="15840"/>
          <w:pgMar w:top="1134" w:right="758" w:bottom="1134" w:left="1134" w:header="709" w:footer="709" w:gutter="0"/>
          <w:cols w:space="708"/>
          <w:titlePg/>
          <w:docGrid w:linePitch="381"/>
        </w:sectPr>
      </w:pPr>
      <w:r>
        <w:t>2016</w:t>
      </w:r>
    </w:p>
    <w:p w:rsidR="00126923" w:rsidRPr="00235A45" w:rsidRDefault="00A67C53" w:rsidP="00F32940">
      <w:pPr>
        <w:pStyle w:val="af7"/>
        <w:numPr>
          <w:ilvl w:val="0"/>
          <w:numId w:val="1"/>
        </w:numPr>
        <w:tabs>
          <w:tab w:val="left" w:pos="284"/>
        </w:tabs>
        <w:jc w:val="center"/>
        <w:rPr>
          <w:b/>
        </w:rPr>
      </w:pPr>
      <w:r w:rsidRPr="00235A45">
        <w:rPr>
          <w:b/>
        </w:rPr>
        <w:lastRenderedPageBreak/>
        <w:t>Общие положения.</w:t>
      </w:r>
    </w:p>
    <w:p w:rsidR="00A67C53" w:rsidRDefault="00CC7737" w:rsidP="00235A45">
      <w:pPr>
        <w:pStyle w:val="af7"/>
        <w:numPr>
          <w:ilvl w:val="1"/>
          <w:numId w:val="1"/>
        </w:numPr>
      </w:pPr>
      <w:r>
        <w:t>Настоящее Положение о взносах</w:t>
      </w:r>
      <w:r w:rsidR="000D719C">
        <w:t xml:space="preserve"> НП СРО «Нефтегазизыскания-Альянс»</w:t>
      </w:r>
      <w:r>
        <w:t xml:space="preserve"> (далее - Положение) </w:t>
      </w:r>
      <w:proofErr w:type="gramStart"/>
      <w:r>
        <w:t>устанавл</w:t>
      </w:r>
      <w:r w:rsidR="006F41BA">
        <w:t>ивает</w:t>
      </w:r>
      <w:r w:rsidR="00D92B24">
        <w:t xml:space="preserve"> условия</w:t>
      </w:r>
      <w:proofErr w:type="gramEnd"/>
      <w:r w:rsidR="00D92B24">
        <w:t xml:space="preserve"> обязательств по уплате </w:t>
      </w:r>
      <w:r w:rsidR="006F41BA">
        <w:t xml:space="preserve">вступительных, </w:t>
      </w:r>
      <w:r>
        <w:t>регулярных членских</w:t>
      </w:r>
      <w:r w:rsidR="006F41BA">
        <w:t xml:space="preserve"> и иных</w:t>
      </w:r>
      <w:r>
        <w:t xml:space="preserve"> взносов,</w:t>
      </w:r>
      <w:r w:rsidR="006F41BA">
        <w:t xml:space="preserve"> </w:t>
      </w:r>
      <w:r w:rsidR="00D92B24">
        <w:t xml:space="preserve">в том числе размеры, </w:t>
      </w:r>
      <w:r>
        <w:t>порядок</w:t>
      </w:r>
      <w:r w:rsidR="00706180">
        <w:t>, способы</w:t>
      </w:r>
      <w:r w:rsidR="006F41BA">
        <w:t xml:space="preserve"> и сроки</w:t>
      </w:r>
      <w:r>
        <w:t xml:space="preserve"> их уплаты.</w:t>
      </w:r>
      <w:r w:rsidR="006F401E">
        <w:t xml:space="preserve"> Положение является внутренним документом Некоммерческого партнерства саморегулируемой организации «Объединение изыскателей для проектирования и строительства объектов топливно-энергетического комплекса «Нефтегазизыскания-Альянс» (далее - Партнерство).</w:t>
      </w:r>
    </w:p>
    <w:p w:rsidR="001253DB" w:rsidRDefault="001253DB" w:rsidP="001253DB">
      <w:pPr>
        <w:pStyle w:val="af7"/>
        <w:numPr>
          <w:ilvl w:val="1"/>
          <w:numId w:val="1"/>
        </w:numPr>
      </w:pPr>
      <w:r>
        <w:t>Правила, установленные Положением, обязательны для членов Партнерства и иных лиц в соответствии со статьей 8 и статьей 181.1 Гражданского кодекса Российской Федерации.</w:t>
      </w:r>
    </w:p>
    <w:p w:rsidR="001253DB" w:rsidRDefault="001253DB" w:rsidP="001253DB">
      <w:pPr>
        <w:pStyle w:val="af7"/>
        <w:numPr>
          <w:ilvl w:val="1"/>
          <w:numId w:val="1"/>
        </w:numPr>
      </w:pPr>
      <w:r>
        <w:t>Установленные Положением правила не регулируют отношений, возникающих из обязанности по уплате взносов в компенсационны</w:t>
      </w:r>
      <w:r w:rsidR="00BC374F">
        <w:t>е</w:t>
      </w:r>
      <w:r>
        <w:t xml:space="preserve"> фонд</w:t>
      </w:r>
      <w:r w:rsidR="00BC374F">
        <w:t>ы</w:t>
      </w:r>
      <w:r>
        <w:t xml:space="preserve"> Партнерства.</w:t>
      </w:r>
    </w:p>
    <w:p w:rsidR="001253DB" w:rsidRDefault="001253DB" w:rsidP="001253DB">
      <w:pPr>
        <w:pStyle w:val="af7"/>
        <w:numPr>
          <w:ilvl w:val="1"/>
          <w:numId w:val="1"/>
        </w:numPr>
      </w:pPr>
      <w:r>
        <w:t>Установленные Положением правила применяются, поскольку законом, иными нормативными правовыми актами или решениями уполномоченных органов управления Партнерства не предусмотрено иное.</w:t>
      </w:r>
    </w:p>
    <w:p w:rsidR="001253DB" w:rsidRDefault="001253DB" w:rsidP="001253DB">
      <w:pPr>
        <w:pStyle w:val="af7"/>
        <w:ind w:left="0" w:firstLine="0"/>
      </w:pPr>
    </w:p>
    <w:p w:rsidR="001253DB" w:rsidRDefault="001253DB" w:rsidP="001253DB">
      <w:pPr>
        <w:pStyle w:val="af7"/>
        <w:numPr>
          <w:ilvl w:val="0"/>
          <w:numId w:val="1"/>
        </w:numPr>
        <w:tabs>
          <w:tab w:val="left" w:pos="284"/>
        </w:tabs>
        <w:jc w:val="center"/>
        <w:rPr>
          <w:b/>
        </w:rPr>
      </w:pPr>
      <w:r>
        <w:rPr>
          <w:b/>
        </w:rPr>
        <w:t>Обязательство по уплате взносов</w:t>
      </w:r>
    </w:p>
    <w:p w:rsidR="001253DB" w:rsidRDefault="001253DB" w:rsidP="001253DB">
      <w:pPr>
        <w:pStyle w:val="af7"/>
        <w:numPr>
          <w:ilvl w:val="1"/>
          <w:numId w:val="1"/>
        </w:numPr>
      </w:pPr>
      <w:r>
        <w:t>Члены Партнерства обязаны участвовать в образовании имущества Партнерства посредством внесения вступительного, регулярных членских и иных взносов в порядке, в размере, способом и в сроки, которые предусмотрены Положением или решением уполномоченного органа управления Партнерства.</w:t>
      </w:r>
    </w:p>
    <w:p w:rsidR="001253DB" w:rsidRDefault="001253DB" w:rsidP="001253DB">
      <w:pPr>
        <w:pStyle w:val="af7"/>
        <w:numPr>
          <w:ilvl w:val="1"/>
          <w:numId w:val="1"/>
        </w:numPr>
      </w:pPr>
      <w:r>
        <w:t>Сторонами обязательства по уплате взносов являются Партнерство (кредитор) и плательщик взносов (должник). Плательщиками взносов являются члены Партнерства и иные лица, у которых возникло обязательство по уплате вступительного, регулярного членского или иного взноса, и соответствующее обязательство которых не прекращено надлежащим исполнением или иным законным способом.</w:t>
      </w:r>
    </w:p>
    <w:p w:rsidR="001253DB" w:rsidRDefault="001253DB" w:rsidP="001253DB">
      <w:pPr>
        <w:pStyle w:val="af7"/>
        <w:numPr>
          <w:ilvl w:val="1"/>
          <w:numId w:val="1"/>
        </w:numPr>
      </w:pPr>
      <w:r>
        <w:lastRenderedPageBreak/>
        <w:t>Целью обязательства по уплате взносов является формирование имущества Партнерства, необходимого для надлежащего исполнения Партнерством установленных законом и учредительным документом функций.</w:t>
      </w:r>
    </w:p>
    <w:p w:rsidR="001253DB" w:rsidRDefault="001253DB" w:rsidP="001253DB">
      <w:pPr>
        <w:pStyle w:val="af7"/>
        <w:numPr>
          <w:ilvl w:val="1"/>
          <w:numId w:val="1"/>
        </w:numPr>
      </w:pPr>
      <w:r>
        <w:t>Члены Партнерства обязаны ежегодно уплачивать регулярный членский взнос в размере, установленном Положением. Обязательство по уплате регулярного членского взноса возникает у членов Партнерства с первого января отчетного года, если иное не установлено Положением. Обязательство по уплате иных взносов возникает со дня, следующего за днем принятия решения о взимании таких взносов, если иное не предусмотрено решением уполномоченного органа управления Партнерства.</w:t>
      </w:r>
    </w:p>
    <w:p w:rsidR="001253DB" w:rsidRDefault="001253DB" w:rsidP="001253DB">
      <w:pPr>
        <w:pStyle w:val="af7"/>
        <w:numPr>
          <w:ilvl w:val="1"/>
          <w:numId w:val="1"/>
        </w:numPr>
      </w:pPr>
      <w:r>
        <w:t>Стороны обязательства по уплате взносов обязаны действовать добросовестно и разумно, взаимно оказывая необходимое содействие для достижения цели обязательства.</w:t>
      </w:r>
    </w:p>
    <w:p w:rsidR="00EC1D36" w:rsidRDefault="00EC1D36" w:rsidP="00EC1D36">
      <w:pPr>
        <w:pStyle w:val="af7"/>
        <w:ind w:left="0" w:firstLine="0"/>
      </w:pPr>
    </w:p>
    <w:p w:rsidR="00B667F2" w:rsidRPr="00EC1D36" w:rsidRDefault="00EC1D36" w:rsidP="00F32940">
      <w:pPr>
        <w:pStyle w:val="af7"/>
        <w:numPr>
          <w:ilvl w:val="0"/>
          <w:numId w:val="1"/>
        </w:numPr>
        <w:tabs>
          <w:tab w:val="left" w:pos="284"/>
        </w:tabs>
        <w:jc w:val="center"/>
        <w:rPr>
          <w:b/>
        </w:rPr>
      </w:pPr>
      <w:r w:rsidRPr="00EC1D36">
        <w:rPr>
          <w:b/>
        </w:rPr>
        <w:t>Категории плательщиков взносов</w:t>
      </w:r>
    </w:p>
    <w:p w:rsidR="00364D62" w:rsidRDefault="00EC1D36" w:rsidP="00D51470">
      <w:pPr>
        <w:pStyle w:val="af7"/>
        <w:numPr>
          <w:ilvl w:val="1"/>
          <w:numId w:val="1"/>
        </w:numPr>
      </w:pPr>
      <w:r>
        <w:t>Плательщики взносов</w:t>
      </w:r>
      <w:r w:rsidR="00C11B2C">
        <w:t xml:space="preserve"> на основании представленных ими документов и в соответствии с установленными Положением правилами</w:t>
      </w:r>
      <w:r>
        <w:t xml:space="preserve"> </w:t>
      </w:r>
      <w:r w:rsidR="00C11B2C">
        <w:t>относятся к одной из категорий</w:t>
      </w:r>
      <w:r w:rsidR="00364D62">
        <w:t xml:space="preserve"> плательщиков взносов</w:t>
      </w:r>
      <w:r w:rsidR="00F32940">
        <w:t xml:space="preserve"> н</w:t>
      </w:r>
      <w:r w:rsidR="00FA589E">
        <w:t>а основании следующих критериев:</w:t>
      </w:r>
      <w:r w:rsidR="00364D62">
        <w:t xml:space="preserve"> </w:t>
      </w:r>
    </w:p>
    <w:p w:rsidR="001E4432" w:rsidRDefault="005055DF" w:rsidP="001253DB">
      <w:pPr>
        <w:pStyle w:val="af7"/>
        <w:numPr>
          <w:ilvl w:val="2"/>
          <w:numId w:val="1"/>
        </w:numPr>
        <w:ind w:left="567"/>
      </w:pPr>
      <w:r>
        <w:t>к</w:t>
      </w:r>
      <w:r w:rsidR="001E4432">
        <w:t xml:space="preserve"> категории </w:t>
      </w:r>
      <w:r w:rsidR="002C664E">
        <w:t>1</w:t>
      </w:r>
      <w:r w:rsidR="001E4432">
        <w:t xml:space="preserve"> относятся:</w:t>
      </w:r>
    </w:p>
    <w:p w:rsidR="001E4432" w:rsidRDefault="001E4432" w:rsidP="001253DB">
      <w:pPr>
        <w:pStyle w:val="af7"/>
        <w:numPr>
          <w:ilvl w:val="3"/>
          <w:numId w:val="1"/>
        </w:numPr>
        <w:ind w:left="567" w:hanging="567"/>
      </w:pPr>
      <w:r>
        <w:t xml:space="preserve">плательщики взносов, </w:t>
      </w:r>
      <w:r w:rsidR="001D673C">
        <w:t>являющиеся некоммерческими корпоративными или унитарными организациями, государственными или муниципальными унитарными предприятиями;</w:t>
      </w:r>
    </w:p>
    <w:p w:rsidR="001253DB" w:rsidRDefault="001D673C" w:rsidP="001253DB">
      <w:pPr>
        <w:pStyle w:val="af7"/>
        <w:numPr>
          <w:ilvl w:val="3"/>
          <w:numId w:val="1"/>
        </w:numPr>
        <w:ind w:left="567" w:hanging="567"/>
      </w:pPr>
      <w:r>
        <w:t>плательщики взносов, являющиеся индивидуальными предпринимателями</w:t>
      </w:r>
      <w:r w:rsidR="001253DB">
        <w:t>;</w:t>
      </w:r>
    </w:p>
    <w:p w:rsidR="001E4432" w:rsidRDefault="005055DF" w:rsidP="001253DB">
      <w:pPr>
        <w:pStyle w:val="af7"/>
        <w:numPr>
          <w:ilvl w:val="2"/>
          <w:numId w:val="1"/>
        </w:numPr>
        <w:ind w:left="567"/>
      </w:pPr>
      <w:r>
        <w:t>к</w:t>
      </w:r>
      <w:r w:rsidR="00F37558">
        <w:t xml:space="preserve"> категории</w:t>
      </w:r>
      <w:r w:rsidR="001E4432">
        <w:t xml:space="preserve"> </w:t>
      </w:r>
      <w:r w:rsidR="002C664E">
        <w:t>2</w:t>
      </w:r>
      <w:r w:rsidR="001E4432">
        <w:t xml:space="preserve"> </w:t>
      </w:r>
      <w:r w:rsidR="00F37558">
        <w:t>относятся</w:t>
      </w:r>
      <w:r w:rsidR="001E4432">
        <w:t xml:space="preserve"> плательщики взносов, </w:t>
      </w:r>
      <w:r w:rsidR="001253DB">
        <w:t>не относящиеся на основании представленных документов</w:t>
      </w:r>
      <w:r w:rsidR="002C664E">
        <w:t xml:space="preserve"> или установленных Положением правил</w:t>
      </w:r>
      <w:r w:rsidR="001253DB">
        <w:t xml:space="preserve"> к категориям 1, </w:t>
      </w:r>
      <w:r w:rsidR="002C664E">
        <w:t xml:space="preserve">3 и </w:t>
      </w:r>
      <w:r w:rsidR="001253DB">
        <w:t>4</w:t>
      </w:r>
      <w:r w:rsidR="001D673C">
        <w:t>.</w:t>
      </w:r>
    </w:p>
    <w:p w:rsidR="001D673C" w:rsidRDefault="005055DF" w:rsidP="001253DB">
      <w:pPr>
        <w:pStyle w:val="af7"/>
        <w:numPr>
          <w:ilvl w:val="2"/>
          <w:numId w:val="1"/>
        </w:numPr>
        <w:ind w:left="567"/>
      </w:pPr>
      <w:r>
        <w:t>к</w:t>
      </w:r>
      <w:r w:rsidR="00F37558">
        <w:t xml:space="preserve"> категории </w:t>
      </w:r>
      <w:r w:rsidR="002C664E">
        <w:t>3</w:t>
      </w:r>
      <w:r w:rsidR="00F37558">
        <w:t xml:space="preserve"> относятся плательщики взносов, не представившие в надлежащий срок </w:t>
      </w:r>
      <w:r>
        <w:t xml:space="preserve">заявление об отнесении их </w:t>
      </w:r>
      <w:r w:rsidR="00F37558">
        <w:t>к одной из опр</w:t>
      </w:r>
      <w:r>
        <w:t>еделенных Положением категорий</w:t>
      </w:r>
      <w:r w:rsidR="004259C9">
        <w:t xml:space="preserve">, не представившие иных необходимых для исчисления </w:t>
      </w:r>
      <w:r w:rsidR="004259C9">
        <w:lastRenderedPageBreak/>
        <w:t>взносов документов</w:t>
      </w:r>
      <w:r w:rsidR="000157E2">
        <w:t xml:space="preserve"> и сведений</w:t>
      </w:r>
      <w:r w:rsidR="00E76851">
        <w:t>,</w:t>
      </w:r>
      <w:r>
        <w:t xml:space="preserve"> </w:t>
      </w:r>
      <w:r w:rsidR="00F37558">
        <w:t>или заявивши</w:t>
      </w:r>
      <w:r>
        <w:t>е</w:t>
      </w:r>
      <w:r w:rsidR="00F37558">
        <w:t xml:space="preserve"> о причислении к </w:t>
      </w:r>
      <w:r>
        <w:t>данной категории</w:t>
      </w:r>
      <w:r w:rsidR="00F37558">
        <w:t>.</w:t>
      </w:r>
    </w:p>
    <w:p w:rsidR="001253DB" w:rsidRDefault="001253DB" w:rsidP="001253DB">
      <w:pPr>
        <w:pStyle w:val="af7"/>
        <w:numPr>
          <w:ilvl w:val="2"/>
          <w:numId w:val="1"/>
        </w:numPr>
        <w:ind w:left="567"/>
      </w:pPr>
      <w:r>
        <w:t xml:space="preserve">к категории </w:t>
      </w:r>
      <w:r w:rsidR="002C664E">
        <w:t>4</w:t>
      </w:r>
      <w:r>
        <w:t xml:space="preserve"> относятся плательщики взносов, заявившие о причислении к данной категории.</w:t>
      </w:r>
    </w:p>
    <w:p w:rsidR="00D92B24" w:rsidRDefault="005055DF" w:rsidP="00D51470">
      <w:pPr>
        <w:pStyle w:val="af7"/>
        <w:numPr>
          <w:ilvl w:val="1"/>
          <w:numId w:val="1"/>
        </w:numPr>
      </w:pPr>
      <w:r>
        <w:t>Плательщики взносов</w:t>
      </w:r>
      <w:r w:rsidR="004259C9">
        <w:t xml:space="preserve"> </w:t>
      </w:r>
      <w:r>
        <w:t>декларируют отнесение их к одной из категорий посредством направления в Партнерство соответствующего заявления. К заявлению должны быть при</w:t>
      </w:r>
      <w:r w:rsidR="00654A2F">
        <w:t>ложены документы (их заверенные копии), необходимые для исчисления размера взноса</w:t>
      </w:r>
      <w:r w:rsidR="00A66740">
        <w:t>.</w:t>
      </w:r>
    </w:p>
    <w:p w:rsidR="005055DF" w:rsidRDefault="004259C9" w:rsidP="00D51470">
      <w:pPr>
        <w:pStyle w:val="af7"/>
        <w:numPr>
          <w:ilvl w:val="1"/>
          <w:numId w:val="1"/>
        </w:numPr>
      </w:pPr>
      <w:r>
        <w:t>Заявление об отнесении к одной из категорий направляется в Партнерство не позднее двадцатого марта каждого календарного года.</w:t>
      </w:r>
      <w:r w:rsidR="00BC374F">
        <w:t xml:space="preserve"> Плательщик взносов, принятый в члены Партнерства в отчетном периоде, обязан представить заявление об отнесении к одной из категорий и приложить необходимые документы в течение пятнадцати дней со дня приема в члены.</w:t>
      </w:r>
    </w:p>
    <w:p w:rsidR="00A66740" w:rsidRDefault="00A66740" w:rsidP="00D51470">
      <w:pPr>
        <w:pStyle w:val="af7"/>
        <w:numPr>
          <w:ilvl w:val="1"/>
          <w:numId w:val="1"/>
        </w:numPr>
      </w:pPr>
      <w:r>
        <w:t xml:space="preserve">Сведения о среднесписочной численности работников в целях отнесения к одной из категорий представляются в виде заверенной плательщиком взносов копии </w:t>
      </w:r>
      <w:r w:rsidR="003E0A3B">
        <w:t>формы, утвержденной федеральным органом исполнительной власти, уполномоченным по контролю и надзору в области налогов и сборов, или</w:t>
      </w:r>
      <w:r w:rsidR="004E5EAB">
        <w:t xml:space="preserve"> иных документов</w:t>
      </w:r>
      <w:r w:rsidR="003E0A3B">
        <w:t>.</w:t>
      </w:r>
      <w:r w:rsidR="000157E2">
        <w:t xml:space="preserve"> Для целей исчисления взносов за среднесписочную численность работников плательщика взносов принимается суммарная среднесписочная численность работников юридического лица и его обособленных подразделений.</w:t>
      </w:r>
    </w:p>
    <w:p w:rsidR="003E0A3B" w:rsidRDefault="003E0A3B" w:rsidP="00D51470">
      <w:pPr>
        <w:pStyle w:val="af7"/>
        <w:numPr>
          <w:ilvl w:val="1"/>
          <w:numId w:val="1"/>
        </w:numPr>
      </w:pPr>
      <w:r>
        <w:t xml:space="preserve">Если в соответствии с </w:t>
      </w:r>
      <w:r w:rsidR="000157E2">
        <w:t>Положением</w:t>
      </w:r>
      <w:r>
        <w:t xml:space="preserve"> </w:t>
      </w:r>
      <w:r w:rsidR="005F62E3">
        <w:t>для верного исчисления размеров взносов требуется представление плательщиком взносов сведений об объемах работ и иных сведений, такие сведения должны быть указаны в заявлении об отнесении плательщика взносов к одной из категорий.</w:t>
      </w:r>
      <w:r w:rsidR="00CF1092">
        <w:t xml:space="preserve"> В заявлении также </w:t>
      </w:r>
      <w:r w:rsidR="001253DB">
        <w:t>должно</w:t>
      </w:r>
      <w:r w:rsidR="00CF1092">
        <w:t xml:space="preserve"> быть указано о намерении плательщика взносов уплачивать взнос частями, если такая уплата допускается Положением.</w:t>
      </w:r>
    </w:p>
    <w:p w:rsidR="001253DB" w:rsidRDefault="001253DB" w:rsidP="001253DB">
      <w:pPr>
        <w:pStyle w:val="af7"/>
        <w:numPr>
          <w:ilvl w:val="1"/>
          <w:numId w:val="1"/>
        </w:numPr>
      </w:pPr>
      <w:r w:rsidRPr="001253DB">
        <w:t xml:space="preserve">Объем работ </w:t>
      </w:r>
      <w:r>
        <w:t>по инженерным изысканиям</w:t>
      </w:r>
      <w:r w:rsidRPr="001253DB">
        <w:t xml:space="preserve"> исчисляется как суммарная стоимость работ по </w:t>
      </w:r>
      <w:r>
        <w:t>инженерным изысканиям</w:t>
      </w:r>
      <w:r w:rsidRPr="001253DB">
        <w:t>, включая работы по выполнению функций технического заказчика</w:t>
      </w:r>
      <w:r>
        <w:t xml:space="preserve"> в области инженерных изысканий</w:t>
      </w:r>
      <w:r w:rsidRPr="001253DB">
        <w:t xml:space="preserve">, </w:t>
      </w:r>
      <w:r w:rsidRPr="001253DB">
        <w:lastRenderedPageBreak/>
        <w:t>выполнявшихся плательщиком взносов за год, предшествующий отчетному</w:t>
      </w:r>
      <w:r>
        <w:t>.</w:t>
      </w:r>
      <w:r w:rsidR="00BC374F">
        <w:t xml:space="preserve"> С</w:t>
      </w:r>
      <w:r>
        <w:t>уммарная стоимость работ по инженерным изысканиям и по выполнению функций технического заказчика исчисляется как стоимость таких работ по договорам подряда и иным соглашениям. Суммарная стоимость работ по инженерным изысканиям (выполнению функций технического заказчика) для плательщиков взносов, не заключающих договоров (в том числе выполняющих работы собственными силами), определяется как размер затрат на выполнение инженерных изысканий (выполнение функций технического заказчика), включая оплату труда работников, оплату труда привлеченных по договорам лиц, иных затрат.</w:t>
      </w:r>
    </w:p>
    <w:p w:rsidR="00E76851" w:rsidRDefault="00E76851" w:rsidP="00D51470">
      <w:pPr>
        <w:pStyle w:val="af7"/>
        <w:numPr>
          <w:ilvl w:val="1"/>
          <w:numId w:val="1"/>
        </w:numPr>
      </w:pPr>
      <w:r>
        <w:t>При выявлении обстоятельств, свидетельствующих о недобросовестных действиях плательщика взносов, направленных на уменьшение размера подлежащего уплате взноса, Партнерство вправе самостоятельно определить категорию плательщика взносов и исчислить размер подлежащего уплате взноса.</w:t>
      </w:r>
    </w:p>
    <w:p w:rsidR="00F32940" w:rsidRDefault="00F32940" w:rsidP="00F32940">
      <w:pPr>
        <w:pStyle w:val="af7"/>
        <w:ind w:left="0" w:firstLine="0"/>
      </w:pPr>
    </w:p>
    <w:p w:rsidR="00E76851" w:rsidRPr="00F32940" w:rsidRDefault="00F32940" w:rsidP="00F32940">
      <w:pPr>
        <w:pStyle w:val="af7"/>
        <w:numPr>
          <w:ilvl w:val="0"/>
          <w:numId w:val="1"/>
        </w:numPr>
        <w:tabs>
          <w:tab w:val="left" w:pos="284"/>
        </w:tabs>
        <w:jc w:val="center"/>
        <w:rPr>
          <w:b/>
        </w:rPr>
      </w:pPr>
      <w:r w:rsidRPr="00F32940">
        <w:rPr>
          <w:b/>
        </w:rPr>
        <w:t>Размеры взносов</w:t>
      </w:r>
    </w:p>
    <w:p w:rsidR="00F32940" w:rsidRDefault="00F32940" w:rsidP="00F32940">
      <w:pPr>
        <w:pStyle w:val="af7"/>
        <w:numPr>
          <w:ilvl w:val="1"/>
          <w:numId w:val="1"/>
        </w:numPr>
      </w:pPr>
      <w:r>
        <w:t xml:space="preserve">Для плательщиков взносов, относящихся к категории 1, устанавливается </w:t>
      </w:r>
      <w:r w:rsidR="006E1C5C">
        <w:t xml:space="preserve">регулярный членский </w:t>
      </w:r>
      <w:r>
        <w:t>взнос в размере</w:t>
      </w:r>
      <w:r w:rsidR="002C664E">
        <w:t xml:space="preserve"> шестидесяти тысяч рублей.</w:t>
      </w:r>
    </w:p>
    <w:p w:rsidR="006101BC" w:rsidRDefault="006101BC" w:rsidP="00F32940">
      <w:pPr>
        <w:pStyle w:val="af7"/>
        <w:numPr>
          <w:ilvl w:val="1"/>
          <w:numId w:val="1"/>
        </w:numPr>
      </w:pPr>
      <w:r>
        <w:t xml:space="preserve">Для плательщиков взносов, относящихся к категории </w:t>
      </w:r>
      <w:r w:rsidR="002C664E">
        <w:t>2</w:t>
      </w:r>
      <w:r>
        <w:t>, устанавливается регулярный членский взнос</w:t>
      </w:r>
      <w:r w:rsidR="00D303DD">
        <w:t xml:space="preserve"> в зависимости от объем</w:t>
      </w:r>
      <w:r w:rsidR="002C664E">
        <w:t>а</w:t>
      </w:r>
      <w:r w:rsidR="00D303DD">
        <w:t xml:space="preserve"> работ по инженерным изысканиям за предшествующий год</w:t>
      </w:r>
      <w:r w:rsidR="002C664E">
        <w:t xml:space="preserve"> и среднесписочной численности работников</w:t>
      </w:r>
      <w:r w:rsidR="00D303DD">
        <w:t>. Размер взноса определяется</w:t>
      </w:r>
      <w:r>
        <w:t xml:space="preserve"> в соответствии с Таблицей 1:</w:t>
      </w:r>
    </w:p>
    <w:p w:rsidR="00654A2F" w:rsidRDefault="00654A2F" w:rsidP="006101BC">
      <w:pPr>
        <w:pStyle w:val="af7"/>
        <w:ind w:left="0" w:firstLine="0"/>
        <w:jc w:val="center"/>
      </w:pPr>
    </w:p>
    <w:p w:rsidR="006101BC" w:rsidRDefault="006101BC" w:rsidP="006101BC">
      <w:pPr>
        <w:pStyle w:val="af7"/>
        <w:ind w:left="0" w:firstLine="0"/>
        <w:jc w:val="center"/>
      </w:pPr>
      <w:r>
        <w:t xml:space="preserve">Таблица 1. Размер регулярного членского взноса для категории </w:t>
      </w:r>
      <w:r w:rsidR="002C664E">
        <w:t>2</w:t>
      </w:r>
      <w:r w:rsidR="004E5EAB">
        <w:t>, руб.:</w:t>
      </w:r>
    </w:p>
    <w:tbl>
      <w:tblPr>
        <w:tblW w:w="9960" w:type="dxa"/>
        <w:jc w:val="center"/>
        <w:tblInd w:w="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2596"/>
        <w:gridCol w:w="2268"/>
        <w:gridCol w:w="2357"/>
      </w:tblGrid>
      <w:tr w:rsidR="0023071D" w:rsidRPr="00AD15F7" w:rsidTr="00443202">
        <w:trPr>
          <w:cantSplit/>
          <w:trHeight w:val="227"/>
          <w:jc w:val="center"/>
        </w:trPr>
        <w:tc>
          <w:tcPr>
            <w:tcW w:w="2739" w:type="dxa"/>
            <w:vMerge w:val="restart"/>
            <w:shd w:val="clear" w:color="auto" w:fill="F2F2F2" w:themeFill="background1" w:themeFillShade="F2"/>
            <w:vAlign w:val="center"/>
          </w:tcPr>
          <w:p w:rsidR="0023071D" w:rsidRPr="00AD15F7" w:rsidRDefault="0023071D" w:rsidP="003C145B">
            <w:pPr>
              <w:spacing w:line="240" w:lineRule="auto"/>
              <w:ind w:firstLine="0"/>
              <w:jc w:val="center"/>
              <w:rPr>
                <w:bCs/>
                <w:color w:val="000000"/>
                <w:sz w:val="24"/>
                <w:szCs w:val="24"/>
              </w:rPr>
            </w:pPr>
            <w:r>
              <w:rPr>
                <w:bCs/>
                <w:color w:val="000000"/>
                <w:sz w:val="24"/>
                <w:szCs w:val="24"/>
              </w:rPr>
              <w:t>Среднесписочная численность работников</w:t>
            </w:r>
          </w:p>
        </w:tc>
        <w:tc>
          <w:tcPr>
            <w:tcW w:w="7221" w:type="dxa"/>
            <w:gridSpan w:val="3"/>
            <w:shd w:val="clear" w:color="auto" w:fill="F2F2F2" w:themeFill="background1" w:themeFillShade="F2"/>
          </w:tcPr>
          <w:p w:rsidR="0023071D" w:rsidRPr="00AD15F7" w:rsidRDefault="0023071D" w:rsidP="003C145B">
            <w:pPr>
              <w:spacing w:line="240" w:lineRule="auto"/>
              <w:ind w:firstLine="0"/>
              <w:jc w:val="center"/>
              <w:rPr>
                <w:bCs/>
                <w:color w:val="000000"/>
                <w:sz w:val="24"/>
                <w:szCs w:val="24"/>
              </w:rPr>
            </w:pPr>
            <w:r w:rsidRPr="00AD15F7">
              <w:rPr>
                <w:bCs/>
                <w:color w:val="000000"/>
                <w:sz w:val="24"/>
                <w:szCs w:val="24"/>
              </w:rPr>
              <w:t>Объем</w:t>
            </w:r>
            <w:r>
              <w:rPr>
                <w:bCs/>
                <w:color w:val="000000"/>
                <w:sz w:val="24"/>
                <w:szCs w:val="24"/>
              </w:rPr>
              <w:t xml:space="preserve"> работ по инженерным изысканиям, млн. руб.</w:t>
            </w:r>
          </w:p>
        </w:tc>
      </w:tr>
      <w:tr w:rsidR="00443202" w:rsidRPr="00AD15F7" w:rsidTr="00443202">
        <w:trPr>
          <w:cantSplit/>
          <w:trHeight w:val="1004"/>
          <w:jc w:val="center"/>
        </w:trPr>
        <w:tc>
          <w:tcPr>
            <w:tcW w:w="2739" w:type="dxa"/>
            <w:vMerge/>
          </w:tcPr>
          <w:p w:rsidR="00443202" w:rsidRPr="00AD15F7" w:rsidRDefault="00443202" w:rsidP="003C145B">
            <w:pPr>
              <w:spacing w:line="240" w:lineRule="auto"/>
              <w:ind w:firstLine="0"/>
              <w:jc w:val="center"/>
              <w:rPr>
                <w:bCs/>
                <w:color w:val="000000"/>
                <w:sz w:val="24"/>
                <w:szCs w:val="24"/>
              </w:rPr>
            </w:pPr>
          </w:p>
        </w:tc>
        <w:tc>
          <w:tcPr>
            <w:tcW w:w="2596" w:type="dxa"/>
            <w:vAlign w:val="center"/>
          </w:tcPr>
          <w:p w:rsidR="00443202" w:rsidRPr="00DE0703" w:rsidRDefault="00443202" w:rsidP="00443202">
            <w:pPr>
              <w:spacing w:line="240" w:lineRule="auto"/>
              <w:ind w:firstLine="0"/>
              <w:jc w:val="center"/>
              <w:rPr>
                <w:bCs/>
                <w:color w:val="000000"/>
                <w:sz w:val="20"/>
                <w:szCs w:val="20"/>
              </w:rPr>
            </w:pPr>
            <w:r>
              <w:rPr>
                <w:bCs/>
                <w:color w:val="000000"/>
                <w:sz w:val="20"/>
                <w:szCs w:val="20"/>
              </w:rPr>
              <w:t>до 15</w:t>
            </w:r>
          </w:p>
        </w:tc>
        <w:tc>
          <w:tcPr>
            <w:tcW w:w="2268" w:type="dxa"/>
            <w:vAlign w:val="center"/>
          </w:tcPr>
          <w:p w:rsidR="00443202" w:rsidRPr="003C145B" w:rsidRDefault="00443202" w:rsidP="00443202">
            <w:pPr>
              <w:spacing w:line="240" w:lineRule="auto"/>
              <w:ind w:firstLine="0"/>
              <w:jc w:val="center"/>
              <w:rPr>
                <w:bCs/>
                <w:color w:val="000000"/>
                <w:sz w:val="20"/>
                <w:szCs w:val="20"/>
              </w:rPr>
            </w:pPr>
            <w:r>
              <w:rPr>
                <w:bCs/>
                <w:color w:val="000000"/>
                <w:sz w:val="20"/>
                <w:szCs w:val="20"/>
              </w:rPr>
              <w:t>от 15 до 50</w:t>
            </w:r>
          </w:p>
        </w:tc>
        <w:tc>
          <w:tcPr>
            <w:tcW w:w="2357" w:type="dxa"/>
            <w:vAlign w:val="center"/>
          </w:tcPr>
          <w:p w:rsidR="00443202" w:rsidRDefault="00443202" w:rsidP="0023071D">
            <w:pPr>
              <w:spacing w:line="240" w:lineRule="auto"/>
              <w:ind w:firstLine="0"/>
              <w:jc w:val="center"/>
              <w:rPr>
                <w:bCs/>
                <w:color w:val="000000"/>
                <w:sz w:val="20"/>
                <w:szCs w:val="20"/>
              </w:rPr>
            </w:pPr>
            <w:r>
              <w:rPr>
                <w:bCs/>
                <w:color w:val="000000"/>
                <w:sz w:val="20"/>
                <w:szCs w:val="20"/>
              </w:rPr>
              <w:t>50 и более</w:t>
            </w:r>
          </w:p>
        </w:tc>
      </w:tr>
      <w:tr w:rsidR="00443202" w:rsidRPr="00AD15F7" w:rsidTr="00443202">
        <w:trPr>
          <w:jc w:val="center"/>
        </w:trPr>
        <w:tc>
          <w:tcPr>
            <w:tcW w:w="2739" w:type="dxa"/>
          </w:tcPr>
          <w:p w:rsidR="00443202" w:rsidRPr="00AD15F7" w:rsidRDefault="00443202" w:rsidP="006E1C5C">
            <w:pPr>
              <w:spacing w:line="240" w:lineRule="auto"/>
              <w:ind w:firstLine="0"/>
              <w:jc w:val="center"/>
              <w:rPr>
                <w:bCs/>
                <w:color w:val="000000"/>
                <w:sz w:val="24"/>
                <w:szCs w:val="24"/>
              </w:rPr>
            </w:pPr>
            <w:r>
              <w:rPr>
                <w:bCs/>
                <w:color w:val="000000"/>
                <w:sz w:val="24"/>
                <w:szCs w:val="24"/>
              </w:rPr>
              <w:t xml:space="preserve">Не более 50 </w:t>
            </w:r>
          </w:p>
        </w:tc>
        <w:tc>
          <w:tcPr>
            <w:tcW w:w="2596" w:type="dxa"/>
          </w:tcPr>
          <w:p w:rsidR="00443202" w:rsidRPr="00AD15F7" w:rsidRDefault="00443202" w:rsidP="003C145B">
            <w:pPr>
              <w:spacing w:line="240" w:lineRule="auto"/>
              <w:ind w:firstLine="0"/>
              <w:jc w:val="center"/>
              <w:rPr>
                <w:bCs/>
                <w:color w:val="000000"/>
                <w:sz w:val="24"/>
                <w:szCs w:val="24"/>
              </w:rPr>
            </w:pPr>
            <w:r w:rsidRPr="00AD15F7">
              <w:rPr>
                <w:bCs/>
                <w:color w:val="000000"/>
                <w:sz w:val="24"/>
                <w:szCs w:val="24"/>
              </w:rPr>
              <w:t>60</w:t>
            </w:r>
            <w:r>
              <w:rPr>
                <w:bCs/>
                <w:color w:val="000000"/>
                <w:sz w:val="24"/>
                <w:szCs w:val="24"/>
              </w:rPr>
              <w:t xml:space="preserve"> 000</w:t>
            </w:r>
          </w:p>
        </w:tc>
        <w:tc>
          <w:tcPr>
            <w:tcW w:w="2268" w:type="dxa"/>
          </w:tcPr>
          <w:p w:rsidR="00443202" w:rsidRPr="00AD15F7" w:rsidRDefault="00443202" w:rsidP="003C145B">
            <w:pPr>
              <w:spacing w:line="240" w:lineRule="auto"/>
              <w:ind w:firstLine="0"/>
              <w:jc w:val="center"/>
              <w:rPr>
                <w:bCs/>
                <w:color w:val="000000"/>
                <w:sz w:val="24"/>
                <w:szCs w:val="24"/>
              </w:rPr>
            </w:pPr>
            <w:r>
              <w:rPr>
                <w:bCs/>
                <w:color w:val="000000"/>
                <w:sz w:val="24"/>
                <w:szCs w:val="24"/>
              </w:rPr>
              <w:t>84 000</w:t>
            </w:r>
          </w:p>
        </w:tc>
        <w:tc>
          <w:tcPr>
            <w:tcW w:w="2357" w:type="dxa"/>
          </w:tcPr>
          <w:p w:rsidR="00443202" w:rsidRDefault="00443202" w:rsidP="003C145B">
            <w:pPr>
              <w:spacing w:line="240" w:lineRule="auto"/>
              <w:ind w:firstLine="0"/>
              <w:jc w:val="center"/>
              <w:rPr>
                <w:bCs/>
                <w:color w:val="000000"/>
                <w:sz w:val="24"/>
                <w:szCs w:val="24"/>
              </w:rPr>
            </w:pPr>
            <w:r>
              <w:rPr>
                <w:bCs/>
                <w:color w:val="000000"/>
                <w:sz w:val="24"/>
                <w:szCs w:val="24"/>
              </w:rPr>
              <w:t>108 000</w:t>
            </w:r>
          </w:p>
        </w:tc>
      </w:tr>
      <w:tr w:rsidR="00443202" w:rsidRPr="00AD15F7" w:rsidTr="00443202">
        <w:trPr>
          <w:jc w:val="center"/>
        </w:trPr>
        <w:tc>
          <w:tcPr>
            <w:tcW w:w="2739" w:type="dxa"/>
          </w:tcPr>
          <w:p w:rsidR="00443202" w:rsidRPr="00AD15F7" w:rsidRDefault="00443202" w:rsidP="006E1C5C">
            <w:pPr>
              <w:spacing w:line="240" w:lineRule="auto"/>
              <w:ind w:firstLine="0"/>
              <w:jc w:val="center"/>
              <w:rPr>
                <w:bCs/>
                <w:color w:val="000000"/>
                <w:sz w:val="24"/>
                <w:szCs w:val="24"/>
              </w:rPr>
            </w:pPr>
            <w:r>
              <w:rPr>
                <w:bCs/>
                <w:color w:val="000000"/>
                <w:sz w:val="24"/>
                <w:szCs w:val="24"/>
              </w:rPr>
              <w:t xml:space="preserve">от 50 до 300 </w:t>
            </w:r>
          </w:p>
        </w:tc>
        <w:tc>
          <w:tcPr>
            <w:tcW w:w="2596" w:type="dxa"/>
          </w:tcPr>
          <w:p w:rsidR="00443202" w:rsidRPr="00AD15F7" w:rsidRDefault="00443202" w:rsidP="003C145B">
            <w:pPr>
              <w:spacing w:line="240" w:lineRule="auto"/>
              <w:ind w:firstLine="0"/>
              <w:jc w:val="center"/>
              <w:rPr>
                <w:bCs/>
                <w:color w:val="000000"/>
                <w:sz w:val="24"/>
                <w:szCs w:val="24"/>
              </w:rPr>
            </w:pPr>
            <w:r>
              <w:rPr>
                <w:bCs/>
                <w:color w:val="000000"/>
                <w:sz w:val="24"/>
                <w:szCs w:val="24"/>
              </w:rPr>
              <w:t>84 000</w:t>
            </w:r>
          </w:p>
        </w:tc>
        <w:tc>
          <w:tcPr>
            <w:tcW w:w="2268" w:type="dxa"/>
          </w:tcPr>
          <w:p w:rsidR="00443202" w:rsidRPr="00AD15F7" w:rsidRDefault="00443202" w:rsidP="003C145B">
            <w:pPr>
              <w:spacing w:line="240" w:lineRule="auto"/>
              <w:ind w:firstLine="0"/>
              <w:jc w:val="center"/>
              <w:rPr>
                <w:bCs/>
                <w:color w:val="000000"/>
                <w:sz w:val="24"/>
                <w:szCs w:val="24"/>
              </w:rPr>
            </w:pPr>
            <w:r>
              <w:rPr>
                <w:bCs/>
                <w:color w:val="000000"/>
                <w:sz w:val="24"/>
                <w:szCs w:val="24"/>
              </w:rPr>
              <w:t>108 000</w:t>
            </w:r>
          </w:p>
        </w:tc>
        <w:tc>
          <w:tcPr>
            <w:tcW w:w="2357" w:type="dxa"/>
          </w:tcPr>
          <w:p w:rsidR="00443202" w:rsidRDefault="00443202" w:rsidP="003C145B">
            <w:pPr>
              <w:spacing w:line="240" w:lineRule="auto"/>
              <w:ind w:firstLine="0"/>
              <w:jc w:val="center"/>
              <w:rPr>
                <w:bCs/>
                <w:color w:val="000000"/>
                <w:sz w:val="24"/>
                <w:szCs w:val="24"/>
              </w:rPr>
            </w:pPr>
            <w:r>
              <w:rPr>
                <w:bCs/>
                <w:color w:val="000000"/>
                <w:sz w:val="24"/>
                <w:szCs w:val="24"/>
              </w:rPr>
              <w:t>132 000</w:t>
            </w:r>
          </w:p>
        </w:tc>
      </w:tr>
      <w:tr w:rsidR="00443202" w:rsidRPr="00AD15F7" w:rsidTr="00443202">
        <w:trPr>
          <w:jc w:val="center"/>
        </w:trPr>
        <w:tc>
          <w:tcPr>
            <w:tcW w:w="2739" w:type="dxa"/>
          </w:tcPr>
          <w:p w:rsidR="00443202" w:rsidRPr="00AD15F7" w:rsidRDefault="00443202" w:rsidP="006E1C5C">
            <w:pPr>
              <w:spacing w:line="240" w:lineRule="auto"/>
              <w:ind w:firstLine="0"/>
              <w:jc w:val="center"/>
              <w:rPr>
                <w:bCs/>
                <w:color w:val="000000"/>
                <w:sz w:val="24"/>
                <w:szCs w:val="24"/>
              </w:rPr>
            </w:pPr>
            <w:r>
              <w:rPr>
                <w:bCs/>
                <w:color w:val="000000"/>
                <w:sz w:val="24"/>
                <w:szCs w:val="24"/>
              </w:rPr>
              <w:t xml:space="preserve">от 300 до 500 </w:t>
            </w:r>
          </w:p>
        </w:tc>
        <w:tc>
          <w:tcPr>
            <w:tcW w:w="2596" w:type="dxa"/>
          </w:tcPr>
          <w:p w:rsidR="00443202" w:rsidRPr="00AD15F7" w:rsidRDefault="00443202" w:rsidP="003C145B">
            <w:pPr>
              <w:spacing w:line="240" w:lineRule="auto"/>
              <w:ind w:firstLine="0"/>
              <w:jc w:val="center"/>
              <w:rPr>
                <w:bCs/>
                <w:color w:val="000000"/>
                <w:sz w:val="24"/>
                <w:szCs w:val="24"/>
              </w:rPr>
            </w:pPr>
            <w:r>
              <w:rPr>
                <w:bCs/>
                <w:color w:val="000000"/>
                <w:sz w:val="24"/>
                <w:szCs w:val="24"/>
              </w:rPr>
              <w:t>108 000</w:t>
            </w:r>
          </w:p>
        </w:tc>
        <w:tc>
          <w:tcPr>
            <w:tcW w:w="2268" w:type="dxa"/>
          </w:tcPr>
          <w:p w:rsidR="00443202" w:rsidRPr="00AD15F7" w:rsidRDefault="00443202" w:rsidP="00443202">
            <w:pPr>
              <w:spacing w:line="240" w:lineRule="auto"/>
              <w:ind w:firstLine="0"/>
              <w:jc w:val="center"/>
              <w:rPr>
                <w:bCs/>
                <w:color w:val="000000"/>
                <w:sz w:val="24"/>
                <w:szCs w:val="24"/>
              </w:rPr>
            </w:pPr>
            <w:r>
              <w:rPr>
                <w:bCs/>
                <w:color w:val="000000"/>
                <w:sz w:val="24"/>
                <w:szCs w:val="24"/>
              </w:rPr>
              <w:t>132 000</w:t>
            </w:r>
          </w:p>
        </w:tc>
        <w:tc>
          <w:tcPr>
            <w:tcW w:w="2357" w:type="dxa"/>
          </w:tcPr>
          <w:p w:rsidR="00443202" w:rsidRDefault="00443202" w:rsidP="0023071D">
            <w:pPr>
              <w:spacing w:line="240" w:lineRule="auto"/>
              <w:ind w:firstLine="0"/>
              <w:jc w:val="center"/>
              <w:rPr>
                <w:bCs/>
                <w:color w:val="000000"/>
                <w:sz w:val="24"/>
                <w:szCs w:val="24"/>
              </w:rPr>
            </w:pPr>
            <w:r>
              <w:rPr>
                <w:bCs/>
                <w:color w:val="000000"/>
                <w:sz w:val="24"/>
                <w:szCs w:val="24"/>
              </w:rPr>
              <w:t>168 000</w:t>
            </w:r>
          </w:p>
        </w:tc>
      </w:tr>
      <w:tr w:rsidR="00443202" w:rsidRPr="00AD15F7" w:rsidTr="00443202">
        <w:trPr>
          <w:jc w:val="center"/>
        </w:trPr>
        <w:tc>
          <w:tcPr>
            <w:tcW w:w="2739" w:type="dxa"/>
          </w:tcPr>
          <w:p w:rsidR="00443202" w:rsidRPr="00AD15F7" w:rsidRDefault="00443202" w:rsidP="003C145B">
            <w:pPr>
              <w:spacing w:line="240" w:lineRule="auto"/>
              <w:ind w:firstLine="0"/>
              <w:jc w:val="center"/>
              <w:rPr>
                <w:bCs/>
                <w:color w:val="000000"/>
                <w:sz w:val="24"/>
                <w:szCs w:val="24"/>
              </w:rPr>
            </w:pPr>
            <w:r>
              <w:rPr>
                <w:bCs/>
                <w:color w:val="000000"/>
                <w:sz w:val="24"/>
                <w:szCs w:val="24"/>
              </w:rPr>
              <w:t>500 и более</w:t>
            </w:r>
          </w:p>
        </w:tc>
        <w:tc>
          <w:tcPr>
            <w:tcW w:w="2596" w:type="dxa"/>
          </w:tcPr>
          <w:p w:rsidR="00443202" w:rsidRPr="00AD15F7" w:rsidRDefault="00443202" w:rsidP="00443202">
            <w:pPr>
              <w:spacing w:line="240" w:lineRule="auto"/>
              <w:ind w:firstLine="0"/>
              <w:jc w:val="center"/>
              <w:rPr>
                <w:bCs/>
                <w:color w:val="000000"/>
                <w:sz w:val="24"/>
                <w:szCs w:val="24"/>
              </w:rPr>
            </w:pPr>
            <w:r>
              <w:rPr>
                <w:bCs/>
                <w:color w:val="000000"/>
                <w:sz w:val="24"/>
                <w:szCs w:val="24"/>
              </w:rPr>
              <w:t>132 000</w:t>
            </w:r>
          </w:p>
        </w:tc>
        <w:tc>
          <w:tcPr>
            <w:tcW w:w="2268" w:type="dxa"/>
          </w:tcPr>
          <w:p w:rsidR="00443202" w:rsidRPr="00AD15F7" w:rsidRDefault="00443202" w:rsidP="006E1C5C">
            <w:pPr>
              <w:spacing w:line="240" w:lineRule="auto"/>
              <w:ind w:firstLine="0"/>
              <w:jc w:val="center"/>
              <w:rPr>
                <w:bCs/>
                <w:color w:val="000000"/>
                <w:sz w:val="24"/>
                <w:szCs w:val="24"/>
              </w:rPr>
            </w:pPr>
            <w:r>
              <w:rPr>
                <w:bCs/>
                <w:color w:val="000000"/>
                <w:sz w:val="24"/>
                <w:szCs w:val="24"/>
              </w:rPr>
              <w:t>168 000</w:t>
            </w:r>
          </w:p>
        </w:tc>
        <w:tc>
          <w:tcPr>
            <w:tcW w:w="2357" w:type="dxa"/>
          </w:tcPr>
          <w:p w:rsidR="00443202" w:rsidRPr="00AD15F7" w:rsidRDefault="00443202" w:rsidP="0023071D">
            <w:pPr>
              <w:spacing w:line="240" w:lineRule="auto"/>
              <w:ind w:firstLine="0"/>
              <w:jc w:val="center"/>
              <w:rPr>
                <w:bCs/>
                <w:color w:val="000000"/>
                <w:sz w:val="24"/>
                <w:szCs w:val="24"/>
              </w:rPr>
            </w:pPr>
            <w:r>
              <w:rPr>
                <w:bCs/>
                <w:color w:val="000000"/>
                <w:sz w:val="24"/>
                <w:szCs w:val="24"/>
              </w:rPr>
              <w:t>192 000</w:t>
            </w:r>
          </w:p>
        </w:tc>
      </w:tr>
    </w:tbl>
    <w:p w:rsidR="003C145B" w:rsidRDefault="003C145B" w:rsidP="003C145B">
      <w:pPr>
        <w:pStyle w:val="af7"/>
        <w:spacing w:line="240" w:lineRule="auto"/>
        <w:ind w:left="0" w:firstLine="0"/>
        <w:rPr>
          <w:i/>
          <w:sz w:val="20"/>
          <w:szCs w:val="20"/>
        </w:rPr>
      </w:pPr>
    </w:p>
    <w:p w:rsidR="00D303DD" w:rsidRDefault="00D303DD" w:rsidP="00D303DD">
      <w:pPr>
        <w:pStyle w:val="af7"/>
        <w:numPr>
          <w:ilvl w:val="1"/>
          <w:numId w:val="1"/>
        </w:numPr>
      </w:pPr>
      <w:r>
        <w:t xml:space="preserve">Для плательщиков взносов, относящихся к категории </w:t>
      </w:r>
      <w:r w:rsidR="006E1C5C">
        <w:t>3</w:t>
      </w:r>
      <w:r>
        <w:t xml:space="preserve">, устанавливается регулярный членский взнос в размере </w:t>
      </w:r>
      <w:r w:rsidR="006E1C5C">
        <w:t>двухсот</w:t>
      </w:r>
      <w:r w:rsidR="00081FB7">
        <w:t xml:space="preserve"> тысяч</w:t>
      </w:r>
      <w:r>
        <w:t xml:space="preserve"> рублей.</w:t>
      </w:r>
    </w:p>
    <w:p w:rsidR="006E1C5C" w:rsidRDefault="006E1C5C" w:rsidP="00D303DD">
      <w:pPr>
        <w:pStyle w:val="af7"/>
        <w:numPr>
          <w:ilvl w:val="1"/>
          <w:numId w:val="1"/>
        </w:numPr>
      </w:pPr>
      <w:r>
        <w:t xml:space="preserve">Для плательщиков взносов, относящихся к категории 4, устанавливается регулярный членский взнос в размере </w:t>
      </w:r>
      <w:r w:rsidR="00E47C48">
        <w:t>четырехсот</w:t>
      </w:r>
      <w:r>
        <w:t xml:space="preserve"> тысяч рублей</w:t>
      </w:r>
      <w:r w:rsidR="00A36A61">
        <w:t>.</w:t>
      </w:r>
    </w:p>
    <w:p w:rsidR="000336B6" w:rsidRDefault="00A36A61" w:rsidP="00D303DD">
      <w:pPr>
        <w:pStyle w:val="af7"/>
        <w:numPr>
          <w:ilvl w:val="1"/>
          <w:numId w:val="1"/>
        </w:numPr>
      </w:pPr>
      <w:r>
        <w:t xml:space="preserve">Размер регулярного членского взноса члена Партнерства, решение о </w:t>
      </w:r>
      <w:proofErr w:type="gramStart"/>
      <w:r>
        <w:t>приеме</w:t>
      </w:r>
      <w:proofErr w:type="gramEnd"/>
      <w:r>
        <w:t xml:space="preserve"> в члены которого принято в отчетном периоде, </w:t>
      </w:r>
      <w:r w:rsidR="000336B6">
        <w:t>уменьшается и исчисляется</w:t>
      </w:r>
      <w:r>
        <w:t xml:space="preserve"> </w:t>
      </w:r>
      <w:r w:rsidR="000336B6">
        <w:t>согласно формуле:</w:t>
      </w:r>
    </w:p>
    <w:p w:rsidR="00A36A61" w:rsidRPr="002A717C" w:rsidRDefault="002A717C" w:rsidP="000336B6">
      <w:pPr>
        <w:pStyle w:val="af7"/>
        <w:ind w:left="0" w:firstLine="0"/>
        <w:jc w:val="center"/>
      </w:pPr>
      <m:oMathPara>
        <m:oMath>
          <m:r>
            <w:rPr>
              <w:rFonts w:ascii="Cambria Math" w:hAnsi="Cambria Math"/>
            </w:rPr>
            <m:t>Р=</m:t>
          </m:r>
          <m:d>
            <m:dPr>
              <m:ctrlPr>
                <w:rPr>
                  <w:rFonts w:ascii="Cambria Math" w:eastAsia="Calibri" w:hAnsi="Cambria Math"/>
                  <w:i/>
                  <w:szCs w:val="22"/>
                </w:rPr>
              </m:ctrlPr>
            </m:dPr>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hAnsi="Cambria Math"/>
                        </w:rPr>
                        <m:t>Р</m:t>
                      </m:r>
                    </m:e>
                    <m:sub>
                      <m:r>
                        <w:rPr>
                          <w:rFonts w:ascii="Cambria Math" w:hAnsi="Cambria Math"/>
                        </w:rPr>
                        <m:t>н</m:t>
                      </m:r>
                    </m:sub>
                  </m:sSub>
                </m:num>
                <m:den>
                  <m:r>
                    <w:rPr>
                      <w:rFonts w:ascii="Cambria Math" w:hAnsi="Cambria Math"/>
                    </w:rPr>
                    <m:t>12</m:t>
                  </m:r>
                </m:den>
              </m:f>
            </m:e>
          </m:d>
          <m:r>
            <w:rPr>
              <w:rFonts w:ascii="Cambria Math" w:hAnsi="Cambria Math"/>
            </w:rPr>
            <m:t>×М</m:t>
          </m:r>
        </m:oMath>
      </m:oMathPara>
    </w:p>
    <w:p w:rsidR="00DE0703" w:rsidRDefault="00DE0703" w:rsidP="00D303DD"/>
    <w:p w:rsidR="00D303DD" w:rsidRDefault="000336B6" w:rsidP="00D303DD">
      <w:r>
        <w:t>где</w:t>
      </w:r>
    </w:p>
    <w:p w:rsidR="000336B6" w:rsidRDefault="000336B6" w:rsidP="00D303DD">
      <w:proofErr w:type="gramStart"/>
      <w:r>
        <w:t>Р</w:t>
      </w:r>
      <w:proofErr w:type="gramEnd"/>
      <w:r>
        <w:t xml:space="preserve"> – размер подлежащего уплате регулярного членского взноса;</w:t>
      </w:r>
    </w:p>
    <w:p w:rsidR="000336B6" w:rsidRDefault="000336B6" w:rsidP="00D303DD">
      <w:proofErr w:type="spellStart"/>
      <w:r>
        <w:t>Р</w:t>
      </w:r>
      <w:r>
        <w:rPr>
          <w:vertAlign w:val="subscript"/>
        </w:rPr>
        <w:t>н</w:t>
      </w:r>
      <w:proofErr w:type="spellEnd"/>
      <w:r>
        <w:t xml:space="preserve"> – номинальный размер членского взноса, исчисленный в соответствии с п. 4.1 – 4.4 Положения для плательщика взноса;</w:t>
      </w:r>
    </w:p>
    <w:p w:rsidR="000336B6" w:rsidRPr="000336B6" w:rsidRDefault="000336B6" w:rsidP="00D303DD">
      <w:r>
        <w:t>М – число полных календарных месяцев, оставшихся до конца года, в котором было принято решение о приеме в члены.</w:t>
      </w:r>
    </w:p>
    <w:p w:rsidR="000336B6" w:rsidRDefault="000336B6" w:rsidP="00D303DD"/>
    <w:p w:rsidR="00D303DD" w:rsidRPr="00F32940" w:rsidRDefault="00D303DD" w:rsidP="00D303DD">
      <w:pPr>
        <w:pStyle w:val="af7"/>
        <w:numPr>
          <w:ilvl w:val="0"/>
          <w:numId w:val="1"/>
        </w:numPr>
        <w:tabs>
          <w:tab w:val="left" w:pos="284"/>
        </w:tabs>
        <w:jc w:val="center"/>
        <w:rPr>
          <w:b/>
        </w:rPr>
      </w:pPr>
      <w:r>
        <w:rPr>
          <w:b/>
        </w:rPr>
        <w:t>Сроки уплаты взносов и платежны</w:t>
      </w:r>
      <w:r w:rsidR="00492A5B">
        <w:rPr>
          <w:b/>
        </w:rPr>
        <w:t>е</w:t>
      </w:r>
      <w:r>
        <w:rPr>
          <w:b/>
        </w:rPr>
        <w:t xml:space="preserve"> период</w:t>
      </w:r>
      <w:r w:rsidR="00492A5B">
        <w:rPr>
          <w:b/>
        </w:rPr>
        <w:t>ы</w:t>
      </w:r>
    </w:p>
    <w:p w:rsidR="006E1C5C" w:rsidRDefault="006E1C5C" w:rsidP="006E1C5C">
      <w:pPr>
        <w:pStyle w:val="af7"/>
        <w:numPr>
          <w:ilvl w:val="1"/>
          <w:numId w:val="1"/>
        </w:numPr>
      </w:pPr>
      <w:r w:rsidRPr="006E1C5C">
        <w:t>Регулярный членский взнос является ежегодным и уплачивается за каждый отчетный</w:t>
      </w:r>
      <w:r>
        <w:t xml:space="preserve"> (платежный)</w:t>
      </w:r>
      <w:r w:rsidRPr="006E1C5C">
        <w:t xml:space="preserve"> период – календарный год, в котором плательщик взносов являлся членом Партнерства</w:t>
      </w:r>
      <w:r>
        <w:t>, в установленные Положением сроки. Иные взносы уплачиваются в сроки, установленные решением уполномоченного органа управления Партнерства.</w:t>
      </w:r>
    </w:p>
    <w:p w:rsidR="006E1C5C" w:rsidRDefault="006E1C5C" w:rsidP="006E1C5C">
      <w:pPr>
        <w:pStyle w:val="af7"/>
        <w:numPr>
          <w:ilvl w:val="1"/>
          <w:numId w:val="1"/>
        </w:numPr>
      </w:pPr>
      <w:r>
        <w:t>Плательщики взносов, отнесенные к категории 1, уплачивают регулярный членский взнос ежегодно не позднее 31 марта отчетного года.</w:t>
      </w:r>
    </w:p>
    <w:p w:rsidR="00D303DD" w:rsidRDefault="00D303DD" w:rsidP="00D303DD">
      <w:pPr>
        <w:pStyle w:val="af7"/>
        <w:numPr>
          <w:ilvl w:val="1"/>
          <w:numId w:val="1"/>
        </w:numPr>
      </w:pPr>
      <w:r>
        <w:t xml:space="preserve">Плательщики взносов, относящиеся к категории </w:t>
      </w:r>
      <w:r w:rsidR="00A36A61">
        <w:t>2</w:t>
      </w:r>
      <w:r>
        <w:t>, уплачивают</w:t>
      </w:r>
      <w:r w:rsidR="00A36A61">
        <w:t xml:space="preserve"> регулярный членский</w:t>
      </w:r>
      <w:r>
        <w:t xml:space="preserve"> взнос </w:t>
      </w:r>
      <w:r w:rsidR="00A36A61">
        <w:t>не позднее 31 марта отчетного года, если такие плательщики взносов своевременно не заявили об уплате регулярного членского взноса частями</w:t>
      </w:r>
      <w:r w:rsidR="00492A5B">
        <w:t>.</w:t>
      </w:r>
    </w:p>
    <w:p w:rsidR="00492A5B" w:rsidRDefault="00492A5B" w:rsidP="00D303DD">
      <w:pPr>
        <w:pStyle w:val="af7"/>
        <w:numPr>
          <w:ilvl w:val="1"/>
          <w:numId w:val="1"/>
        </w:numPr>
      </w:pPr>
      <w:r>
        <w:lastRenderedPageBreak/>
        <w:t xml:space="preserve">Плательщики взносов, относящиеся к категории </w:t>
      </w:r>
      <w:r w:rsidR="00A36A61">
        <w:t>3</w:t>
      </w:r>
      <w:r>
        <w:t xml:space="preserve">, уплачивают регулярный членский взнос </w:t>
      </w:r>
      <w:r w:rsidR="00A36A61">
        <w:t>ежегодно не позднее 3</w:t>
      </w:r>
      <w:r w:rsidR="000336B6">
        <w:t>0</w:t>
      </w:r>
      <w:r w:rsidR="00A36A61">
        <w:t xml:space="preserve"> апреля отчетного года</w:t>
      </w:r>
      <w:r>
        <w:t>.</w:t>
      </w:r>
    </w:p>
    <w:p w:rsidR="00A36A61" w:rsidRDefault="00A36A61" w:rsidP="00D303DD">
      <w:pPr>
        <w:pStyle w:val="af7"/>
        <w:numPr>
          <w:ilvl w:val="1"/>
          <w:numId w:val="1"/>
        </w:numPr>
      </w:pPr>
      <w:r>
        <w:t>Плательщики взносов, относящиеся к категории 4, уплачивают регулярный членский взнос ежегодно не позднее 31 марта отчетного года.</w:t>
      </w:r>
    </w:p>
    <w:p w:rsidR="00492A5B" w:rsidRDefault="00492A5B" w:rsidP="00D303DD">
      <w:pPr>
        <w:pStyle w:val="af7"/>
        <w:numPr>
          <w:ilvl w:val="1"/>
          <w:numId w:val="1"/>
        </w:numPr>
      </w:pPr>
      <w:r>
        <w:t>Регулярный членский взнос по заявлению отнесенного к</w:t>
      </w:r>
      <w:r w:rsidR="00A36A61">
        <w:t>о</w:t>
      </w:r>
      <w:r>
        <w:t xml:space="preserve"> </w:t>
      </w:r>
      <w:r w:rsidR="00A36A61">
        <w:t>второй</w:t>
      </w:r>
      <w:r>
        <w:t xml:space="preserve"> категории плательщика взносов может уплачиваться равными частями</w:t>
      </w:r>
      <w:r w:rsidR="00081FB7">
        <w:t xml:space="preserve"> не чаще, чем</w:t>
      </w:r>
      <w:r>
        <w:t xml:space="preserve"> каждый </w:t>
      </w:r>
      <w:r w:rsidR="00A36A61">
        <w:t>месяц</w:t>
      </w:r>
      <w:r>
        <w:t xml:space="preserve"> отчетного года.</w:t>
      </w:r>
      <w:r w:rsidR="00A93645">
        <w:t xml:space="preserve"> При этом каждая часть взноса уплачивается не позднее пятнадцатого числа месяца, которым начинается</w:t>
      </w:r>
      <w:r w:rsidR="006F56A0">
        <w:t xml:space="preserve"> каждый</w:t>
      </w:r>
      <w:r w:rsidR="000336B6">
        <w:t xml:space="preserve"> платежный</w:t>
      </w:r>
      <w:r w:rsidR="00A93645">
        <w:t xml:space="preserve"> период.</w:t>
      </w:r>
      <w:r w:rsidR="00BC374F">
        <w:t xml:space="preserve"> Часть регулярного членского взноса, которая должна быть уплачена до подачи указанного заявления, уплачивается не позднее 15 апреля отчетного года.</w:t>
      </w:r>
    </w:p>
    <w:p w:rsidR="00CF1092" w:rsidRDefault="00A36A61" w:rsidP="00D303DD">
      <w:pPr>
        <w:pStyle w:val="af7"/>
        <w:numPr>
          <w:ilvl w:val="1"/>
          <w:numId w:val="1"/>
        </w:numPr>
      </w:pPr>
      <w:r>
        <w:t xml:space="preserve">Плательщик взносов, решение о </w:t>
      </w:r>
      <w:proofErr w:type="gramStart"/>
      <w:r>
        <w:t>приеме</w:t>
      </w:r>
      <w:proofErr w:type="gramEnd"/>
      <w:r>
        <w:t xml:space="preserve"> в члены Партнерства которого принято в отчетном периоде, обязан уплатить регулярный членский взнос в течение пятнадцати дней со дня, в котором принято решение о приеме в члены.</w:t>
      </w:r>
    </w:p>
    <w:p w:rsidR="004E3CCA" w:rsidRDefault="004E3CCA" w:rsidP="004E3CCA">
      <w:pPr>
        <w:pStyle w:val="af7"/>
        <w:ind w:left="1021" w:firstLine="0"/>
      </w:pPr>
    </w:p>
    <w:p w:rsidR="00743623" w:rsidRPr="004E3CCA" w:rsidRDefault="004E3CCA" w:rsidP="00C7435A">
      <w:pPr>
        <w:pStyle w:val="af7"/>
        <w:numPr>
          <w:ilvl w:val="0"/>
          <w:numId w:val="1"/>
        </w:numPr>
        <w:tabs>
          <w:tab w:val="left" w:pos="284"/>
        </w:tabs>
        <w:jc w:val="center"/>
        <w:rPr>
          <w:b/>
        </w:rPr>
      </w:pPr>
      <w:r w:rsidRPr="004E3CCA">
        <w:rPr>
          <w:b/>
        </w:rPr>
        <w:t>Порядок и способы уплаты взносов</w:t>
      </w:r>
    </w:p>
    <w:p w:rsidR="004E3CCA" w:rsidRDefault="004E3CCA" w:rsidP="004E3CCA">
      <w:pPr>
        <w:pStyle w:val="af7"/>
        <w:numPr>
          <w:ilvl w:val="1"/>
          <w:numId w:val="1"/>
        </w:numPr>
      </w:pPr>
      <w:r>
        <w:t>Взносы уплачиваются</w:t>
      </w:r>
      <w:r w:rsidR="00DA3862">
        <w:t xml:space="preserve"> путем безналичных расчетов</w:t>
      </w:r>
      <w:r>
        <w:t xml:space="preserve"> на банковский счет Партнерства.</w:t>
      </w:r>
    </w:p>
    <w:p w:rsidR="00DA3862" w:rsidRDefault="00DA3862" w:rsidP="004E3CCA">
      <w:pPr>
        <w:pStyle w:val="af7"/>
        <w:numPr>
          <w:ilvl w:val="1"/>
          <w:numId w:val="1"/>
        </w:numPr>
      </w:pPr>
      <w:r>
        <w:t>Плательщики взносов исчисляют и уплачивают взносы самостоятельно.</w:t>
      </w:r>
    </w:p>
    <w:p w:rsidR="00DA3862" w:rsidRDefault="00DA3862" w:rsidP="004E3CCA">
      <w:pPr>
        <w:pStyle w:val="af7"/>
        <w:numPr>
          <w:ilvl w:val="1"/>
          <w:numId w:val="1"/>
        </w:numPr>
      </w:pPr>
      <w:r>
        <w:t>Партнерство вправе исчислить размер взноса самостоятельно и выставить счет на уплату членских взносов. В счете указываются реквизиты банковского счета Партнерства, по которым совершается платеж, наименование плательщика, размер взноса, платежный период, за который вносятся взносы, и иные сведения, необходимые для уплаты взноса.</w:t>
      </w:r>
    </w:p>
    <w:p w:rsidR="00D303DD" w:rsidRDefault="00DA3862" w:rsidP="007167F0">
      <w:pPr>
        <w:pStyle w:val="af7"/>
        <w:numPr>
          <w:ilvl w:val="1"/>
          <w:numId w:val="1"/>
        </w:numPr>
      </w:pPr>
      <w:r>
        <w:t>Взносы могут быть уплачены авансом за будущие периоды. Излишне уплаченные взносы</w:t>
      </w:r>
      <w:r w:rsidR="00740D4E">
        <w:t xml:space="preserve"> не возвращаются и</w:t>
      </w:r>
      <w:r>
        <w:t xml:space="preserve"> засчитываются </w:t>
      </w:r>
      <w:r w:rsidR="00C7435A">
        <w:t>в счет будущих периодов.</w:t>
      </w:r>
      <w:r w:rsidR="007167F0">
        <w:t xml:space="preserve"> </w:t>
      </w:r>
      <w:r w:rsidR="007167F0" w:rsidRPr="007167F0">
        <w:t>Если членство плательщика взносов в Партнерстве было прекращено в течение отчетного года или ранее наступления периода, в счет которого были зачтены уплаченные взносы, уплаченные взносы обращаются в доход Партнерства и не возвращаются плательщику.</w:t>
      </w:r>
    </w:p>
    <w:sectPr w:rsidR="00D303DD" w:rsidSect="00654A2F">
      <w:headerReference w:type="default" r:id="rId9"/>
      <w:footerReference w:type="default" r:id="rId10"/>
      <w:pgSz w:w="12240" w:h="15840"/>
      <w:pgMar w:top="993" w:right="758" w:bottom="709" w:left="1418" w:header="709"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07" w:rsidRDefault="004D5E07" w:rsidP="00A67C53">
      <w:r>
        <w:separator/>
      </w:r>
    </w:p>
  </w:endnote>
  <w:endnote w:type="continuationSeparator" w:id="0">
    <w:p w:rsidR="004D5E07" w:rsidRDefault="004D5E07" w:rsidP="00A6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C9" w:rsidRDefault="00226E59">
    <w:pPr>
      <w:pStyle w:val="a5"/>
      <w:jc w:val="right"/>
    </w:pPr>
    <w:r>
      <w:fldChar w:fldCharType="begin"/>
    </w:r>
    <w:r w:rsidR="004259C9">
      <w:instrText>PAGE   \* MERGEFORMAT</w:instrText>
    </w:r>
    <w:r>
      <w:fldChar w:fldCharType="separate"/>
    </w:r>
    <w:r w:rsidR="007D710B">
      <w:rPr>
        <w:noProof/>
      </w:rPr>
      <w:t>2</w:t>
    </w:r>
    <w:r>
      <w:fldChar w:fldCharType="end"/>
    </w:r>
  </w:p>
  <w:p w:rsidR="004259C9" w:rsidRDefault="004259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C9" w:rsidRDefault="00226E59">
    <w:pPr>
      <w:pStyle w:val="a5"/>
      <w:jc w:val="right"/>
    </w:pPr>
    <w:r>
      <w:fldChar w:fldCharType="begin"/>
    </w:r>
    <w:r w:rsidR="004259C9">
      <w:instrText>PAGE   \* MERGEFORMAT</w:instrText>
    </w:r>
    <w:r>
      <w:fldChar w:fldCharType="separate"/>
    </w:r>
    <w:r w:rsidR="00B53240">
      <w:rPr>
        <w:noProof/>
      </w:rPr>
      <w:t>7</w:t>
    </w:r>
    <w:r>
      <w:fldChar w:fldCharType="end"/>
    </w:r>
  </w:p>
  <w:p w:rsidR="004259C9" w:rsidRDefault="004259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07" w:rsidRDefault="004D5E07" w:rsidP="00A67C53">
      <w:r>
        <w:separator/>
      </w:r>
    </w:p>
  </w:footnote>
  <w:footnote w:type="continuationSeparator" w:id="0">
    <w:p w:rsidR="004D5E07" w:rsidRDefault="004D5E07" w:rsidP="00A6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40" w:rsidRDefault="00A667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22C0"/>
    <w:multiLevelType w:val="multilevel"/>
    <w:tmpl w:val="585C395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russianLower"/>
      <w:lvlText w:val="%3)"/>
      <w:lvlJc w:val="left"/>
      <w:pPr>
        <w:ind w:left="1021" w:hanging="567"/>
      </w:pPr>
      <w:rPr>
        <w:rFonts w:hint="default"/>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23"/>
    <w:rsid w:val="000157E2"/>
    <w:rsid w:val="000336B6"/>
    <w:rsid w:val="000554D2"/>
    <w:rsid w:val="00063552"/>
    <w:rsid w:val="00081FB7"/>
    <w:rsid w:val="000D719C"/>
    <w:rsid w:val="001253DB"/>
    <w:rsid w:val="00126923"/>
    <w:rsid w:val="001C57E0"/>
    <w:rsid w:val="001D673C"/>
    <w:rsid w:val="001E4432"/>
    <w:rsid w:val="002130EB"/>
    <w:rsid w:val="00226E59"/>
    <w:rsid w:val="0023071D"/>
    <w:rsid w:val="00235A45"/>
    <w:rsid w:val="00261938"/>
    <w:rsid w:val="0026746A"/>
    <w:rsid w:val="00294297"/>
    <w:rsid w:val="0029762C"/>
    <w:rsid w:val="002A717C"/>
    <w:rsid w:val="002C664E"/>
    <w:rsid w:val="002E70BC"/>
    <w:rsid w:val="002F3052"/>
    <w:rsid w:val="0031407C"/>
    <w:rsid w:val="00364D62"/>
    <w:rsid w:val="003770CC"/>
    <w:rsid w:val="003C145B"/>
    <w:rsid w:val="003E0A3B"/>
    <w:rsid w:val="004259C9"/>
    <w:rsid w:val="00443202"/>
    <w:rsid w:val="00464685"/>
    <w:rsid w:val="00492A5B"/>
    <w:rsid w:val="004962AE"/>
    <w:rsid w:val="004D5E07"/>
    <w:rsid w:val="004E3CCA"/>
    <w:rsid w:val="004E5EAB"/>
    <w:rsid w:val="005055DF"/>
    <w:rsid w:val="00520A18"/>
    <w:rsid w:val="00523F38"/>
    <w:rsid w:val="005D0283"/>
    <w:rsid w:val="005F62E3"/>
    <w:rsid w:val="006101BC"/>
    <w:rsid w:val="00654A2F"/>
    <w:rsid w:val="006E1C5C"/>
    <w:rsid w:val="006F401E"/>
    <w:rsid w:val="006F41BA"/>
    <w:rsid w:val="006F56A0"/>
    <w:rsid w:val="00706180"/>
    <w:rsid w:val="007167F0"/>
    <w:rsid w:val="00740D4E"/>
    <w:rsid w:val="00743623"/>
    <w:rsid w:val="00763B4A"/>
    <w:rsid w:val="007D710B"/>
    <w:rsid w:val="007E5A4F"/>
    <w:rsid w:val="008A3E3D"/>
    <w:rsid w:val="008B0A13"/>
    <w:rsid w:val="00A36A61"/>
    <w:rsid w:val="00A66740"/>
    <w:rsid w:val="00A67C53"/>
    <w:rsid w:val="00A93645"/>
    <w:rsid w:val="00AB1EA1"/>
    <w:rsid w:val="00B53240"/>
    <w:rsid w:val="00B667F2"/>
    <w:rsid w:val="00BC374F"/>
    <w:rsid w:val="00C11B2C"/>
    <w:rsid w:val="00C7435A"/>
    <w:rsid w:val="00CC7737"/>
    <w:rsid w:val="00CF1092"/>
    <w:rsid w:val="00CF61D7"/>
    <w:rsid w:val="00D303DD"/>
    <w:rsid w:val="00D51470"/>
    <w:rsid w:val="00D55E69"/>
    <w:rsid w:val="00D656E1"/>
    <w:rsid w:val="00D92B24"/>
    <w:rsid w:val="00D9471E"/>
    <w:rsid w:val="00DA3862"/>
    <w:rsid w:val="00DD285E"/>
    <w:rsid w:val="00DE0703"/>
    <w:rsid w:val="00E17740"/>
    <w:rsid w:val="00E47C48"/>
    <w:rsid w:val="00E76851"/>
    <w:rsid w:val="00EC1D36"/>
    <w:rsid w:val="00EE1EAA"/>
    <w:rsid w:val="00F32940"/>
    <w:rsid w:val="00F37558"/>
    <w:rsid w:val="00FA589E"/>
    <w:rsid w:val="00FC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3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DE0703"/>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E07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3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DE0703"/>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E07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8842</Characters>
  <Application>Microsoft Office Word</Application>
  <DocSecurity>4</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Khodus;Адвокатский кабинет Ходуса А.И.</dc:creator>
  <cp:lastModifiedBy>Андрей</cp:lastModifiedBy>
  <cp:revision>2</cp:revision>
  <cp:lastPrinted>2016-12-19T16:21:00Z</cp:lastPrinted>
  <dcterms:created xsi:type="dcterms:W3CDTF">2016-12-19T16:24:00Z</dcterms:created>
  <dcterms:modified xsi:type="dcterms:W3CDTF">2016-12-19T16:24:00Z</dcterms:modified>
</cp:coreProperties>
</file>