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B02A1">
        <w:rPr>
          <w:rFonts w:ascii="Times New Roman" w:hAnsi="Times New Roman"/>
          <w:caps/>
          <w:color w:val="000000"/>
          <w:sz w:val="18"/>
          <w:szCs w:val="20"/>
        </w:rPr>
        <w:t>284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B02A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B02A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B02A1" w:rsidP="002B02A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Техстройпроект</w:t>
      </w:r>
      <w:proofErr w:type="spellEnd"/>
      <w:r>
        <w:rPr>
          <w:bCs/>
          <w:color w:val="000000"/>
          <w:sz w:val="18"/>
        </w:rPr>
        <w:t>», Адрес: 428022, РФ, Чувашская Республика - Чувашия, г. Чебоксары, ул. 50 лет Октября, д. 15, помещение/офис 2/4, ИНН (2130216445)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2B02A1" w:rsidRPr="002B02A1" w:rsidRDefault="002B02A1" w:rsidP="002B02A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02A1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65F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0C30-5A81-4B7D-824E-C0384C6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2021-02-17T08:08:00Z</cp:lastPrinted>
  <dcterms:created xsi:type="dcterms:W3CDTF">2021-02-17T07:28:00Z</dcterms:created>
  <dcterms:modified xsi:type="dcterms:W3CDTF">2021-02-17T08:08:00Z</dcterms:modified>
</cp:coreProperties>
</file>