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8A1538" w:rsidRPr="00503632" w:rsidTr="007B43E7">
        <w:tc>
          <w:tcPr>
            <w:tcW w:w="5953" w:type="dxa"/>
          </w:tcPr>
          <w:p w:rsidR="008A1538" w:rsidRDefault="008A1538" w:rsidP="00D53658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F72CE4" w:rsidRPr="00F72CE4" w:rsidRDefault="00F72CE4" w:rsidP="00F72CE4"/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377766">
              <w:rPr>
                <w:rFonts w:cstheme="minorBidi"/>
                <w:szCs w:val="24"/>
              </w:rPr>
              <w:t>12</w:t>
            </w:r>
            <w:r w:rsidR="006628B8">
              <w:rPr>
                <w:rFonts w:cstheme="minorBidi"/>
                <w:szCs w:val="24"/>
              </w:rPr>
              <w:t>.0</w:t>
            </w:r>
            <w:r w:rsidR="00377766">
              <w:rPr>
                <w:rFonts w:cstheme="minorBidi"/>
                <w:szCs w:val="24"/>
              </w:rPr>
              <w:t>3</w:t>
            </w:r>
            <w:r w:rsidR="00503632">
              <w:rPr>
                <w:rFonts w:cstheme="minorBidi"/>
                <w:szCs w:val="24"/>
              </w:rPr>
              <w:t>.20</w:t>
            </w:r>
            <w:r w:rsidR="00CD6B61">
              <w:rPr>
                <w:rFonts w:cstheme="minorBidi"/>
                <w:szCs w:val="24"/>
              </w:rPr>
              <w:t>2</w:t>
            </w:r>
            <w:r w:rsidR="00377766">
              <w:rPr>
                <w:rFonts w:cstheme="minorBidi"/>
                <w:szCs w:val="24"/>
              </w:rPr>
              <w:t>4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377766">
              <w:rPr>
                <w:rFonts w:cstheme="minorBidi"/>
                <w:szCs w:val="24"/>
              </w:rPr>
              <w:t>44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6628B8" w:rsidRPr="00503632" w:rsidRDefault="006628B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E76C5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</w:t>
            </w:r>
            <w:r w:rsidR="008E76C5">
              <w:rPr>
                <w:rFonts w:cstheme="minorBidi"/>
                <w:szCs w:val="24"/>
              </w:rPr>
              <w:t xml:space="preserve"> А.А. Кастерин</w:t>
            </w:r>
          </w:p>
        </w:tc>
      </w:tr>
      <w:tr w:rsidR="008A1538" w:rsidRPr="00503632" w:rsidTr="007B43E7">
        <w:tc>
          <w:tcPr>
            <w:tcW w:w="5953" w:type="dxa"/>
          </w:tcPr>
          <w:p w:rsidR="008A1538" w:rsidRPr="00503632" w:rsidRDefault="008A1538" w:rsidP="00D53658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D53658">
      <w:pPr>
        <w:ind w:firstLine="5103"/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Default="008A1538" w:rsidP="00D53658">
      <w:pPr>
        <w:rPr>
          <w:szCs w:val="24"/>
        </w:rPr>
      </w:pPr>
    </w:p>
    <w:p w:rsidR="00503632" w:rsidRPr="00503632" w:rsidRDefault="00503632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ind w:firstLine="0"/>
        <w:rPr>
          <w:b/>
          <w:szCs w:val="24"/>
        </w:rPr>
      </w:pP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6628B8">
        <w:rPr>
          <w:b/>
          <w:szCs w:val="24"/>
        </w:rPr>
        <w:t>2</w:t>
      </w:r>
      <w:r w:rsidR="00377766">
        <w:rPr>
          <w:b/>
          <w:szCs w:val="24"/>
        </w:rPr>
        <w:t>3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D5365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D5365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</w:t>
      </w:r>
      <w:r w:rsidR="00377766">
        <w:rPr>
          <w:szCs w:val="24"/>
        </w:rPr>
        <w:t>4</w:t>
      </w:r>
    </w:p>
    <w:p w:rsidR="008A1538" w:rsidRDefault="008A1538" w:rsidP="00D5365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D53658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</w:t>
      </w:r>
      <w:r w:rsidR="006628B8">
        <w:rPr>
          <w:szCs w:val="24"/>
        </w:rPr>
        <w:t>2</w:t>
      </w:r>
      <w:r w:rsidR="00377766">
        <w:rPr>
          <w:szCs w:val="24"/>
        </w:rPr>
        <w:t>3</w:t>
      </w:r>
      <w:r w:rsidR="006628B8">
        <w:rPr>
          <w:szCs w:val="24"/>
        </w:rPr>
        <w:t xml:space="preserve"> </w:t>
      </w:r>
      <w:r w:rsidRPr="00A458C1">
        <w:rPr>
          <w:szCs w:val="24"/>
        </w:rPr>
        <w:t xml:space="preserve">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Pr="006D3A68" w:rsidRDefault="007F2EE3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О</w:t>
      </w:r>
      <w:r w:rsidR="009A46F6" w:rsidRPr="006D3A68">
        <w:rPr>
          <w:szCs w:val="24"/>
        </w:rPr>
        <w:t>беспечение текущей деятельности Ассоциации как саморегулируемой организации</w:t>
      </w:r>
      <w:r w:rsidR="002E1795" w:rsidRPr="006D3A68">
        <w:rPr>
          <w:szCs w:val="24"/>
        </w:rPr>
        <w:t xml:space="preserve"> -  </w:t>
      </w:r>
      <w:r w:rsidR="009A46F6" w:rsidRPr="006D3A68">
        <w:rPr>
          <w:szCs w:val="24"/>
        </w:rPr>
        <w:t>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Федерации,</w:t>
      </w:r>
      <w:r w:rsidR="00595562" w:rsidRPr="006D3A68">
        <w:rPr>
          <w:szCs w:val="24"/>
        </w:rPr>
        <w:t xml:space="preserve"> главы 6.1 Градостроительного кодекса Российской Федерации.</w:t>
      </w:r>
    </w:p>
    <w:p w:rsidR="00595562" w:rsidRPr="006D3A68" w:rsidRDefault="007F2EE3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Р</w:t>
      </w:r>
      <w:r w:rsidR="00CD6B61" w:rsidRPr="006D3A68">
        <w:rPr>
          <w:szCs w:val="24"/>
        </w:rPr>
        <w:t>азвитие</w:t>
      </w:r>
      <w:r w:rsidR="00E71EE8" w:rsidRPr="006D3A6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 w:rsidRPr="006D3A68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 w:rsidRPr="006D3A68">
        <w:rPr>
          <w:szCs w:val="24"/>
        </w:rPr>
        <w:t>, национальными объединениями саморегулируемых организаций</w:t>
      </w:r>
      <w:r w:rsidR="00595562" w:rsidRPr="006D3A68">
        <w:rPr>
          <w:szCs w:val="24"/>
        </w:rPr>
        <w:t>.</w:t>
      </w:r>
    </w:p>
    <w:p w:rsidR="00377766" w:rsidRPr="006D3A68" w:rsidRDefault="00377766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Сотрудничество с Национальным объединением саморегулируемых организаций, участие в совещательных органах объединения.</w:t>
      </w:r>
    </w:p>
    <w:p w:rsidR="006D3A68" w:rsidRPr="006D3A68" w:rsidRDefault="006D3A68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Содействие членам Ассоциации в части прохождения работниками независимой оценки квалификации.</w:t>
      </w:r>
    </w:p>
    <w:p w:rsidR="009A46F6" w:rsidRPr="00A458C1" w:rsidRDefault="00546327" w:rsidP="00D53658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D53658">
      <w:pPr>
        <w:rPr>
          <w:szCs w:val="24"/>
        </w:rPr>
      </w:pPr>
    </w:p>
    <w:p w:rsidR="00BA1546" w:rsidRPr="00A458C1" w:rsidRDefault="009A46F6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D53658">
      <w:pPr>
        <w:rPr>
          <w:szCs w:val="24"/>
        </w:rPr>
      </w:pPr>
    </w:p>
    <w:p w:rsidR="007F2EE3" w:rsidRPr="007F2EE3" w:rsidRDefault="007F2EE3" w:rsidP="007F2EE3">
      <w:pPr>
        <w:rPr>
          <w:szCs w:val="24"/>
        </w:rPr>
      </w:pPr>
      <w:r w:rsidRPr="007F2EE3">
        <w:rPr>
          <w:szCs w:val="24"/>
        </w:rPr>
        <w:t xml:space="preserve">На начало отчетного периода в Ассоциации состояло </w:t>
      </w:r>
      <w:r w:rsidR="00377766">
        <w:rPr>
          <w:szCs w:val="24"/>
        </w:rPr>
        <w:t>395</w:t>
      </w:r>
      <w:r w:rsidRPr="007F2EE3">
        <w:rPr>
          <w:szCs w:val="24"/>
        </w:rPr>
        <w:t xml:space="preserve"> юридических лиц и индивидуальных предпринимателя</w:t>
      </w:r>
      <w:r w:rsidR="00377766">
        <w:rPr>
          <w:szCs w:val="24"/>
        </w:rPr>
        <w:t>. На конец отчетного периода 403</w:t>
      </w:r>
      <w:r w:rsidRPr="007F2EE3">
        <w:rPr>
          <w:szCs w:val="24"/>
        </w:rPr>
        <w:t xml:space="preserve"> – юридических лиц и индивидуальных предпринимателей.  </w:t>
      </w:r>
    </w:p>
    <w:p w:rsidR="00EF702B" w:rsidRDefault="007F2EE3" w:rsidP="007F2EE3">
      <w:pPr>
        <w:rPr>
          <w:szCs w:val="24"/>
        </w:rPr>
      </w:pPr>
      <w:r w:rsidRPr="007F2EE3">
        <w:rPr>
          <w:szCs w:val="24"/>
        </w:rPr>
        <w:t xml:space="preserve">Всего принято в члены за отчетный период </w:t>
      </w:r>
      <w:r w:rsidR="00377766">
        <w:rPr>
          <w:szCs w:val="24"/>
        </w:rPr>
        <w:t>39</w:t>
      </w:r>
      <w:r w:rsidRPr="007F2EE3">
        <w:rPr>
          <w:szCs w:val="24"/>
        </w:rPr>
        <w:t xml:space="preserve"> юридических лиц, прекращено членство </w:t>
      </w:r>
      <w:r w:rsidR="00377766">
        <w:rPr>
          <w:szCs w:val="24"/>
        </w:rPr>
        <w:t>31</w:t>
      </w:r>
      <w:r w:rsidRPr="007F2EE3">
        <w:rPr>
          <w:szCs w:val="24"/>
        </w:rPr>
        <w:t xml:space="preserve"> юридических лиц</w:t>
      </w:r>
      <w:r w:rsidR="00EF702B">
        <w:rPr>
          <w:szCs w:val="24"/>
        </w:rPr>
        <w:t xml:space="preserve"> (из них 22 – добровольный выход)</w:t>
      </w:r>
      <w:r w:rsidRPr="007F2EE3">
        <w:rPr>
          <w:szCs w:val="24"/>
        </w:rPr>
        <w:t xml:space="preserve">. </w:t>
      </w:r>
    </w:p>
    <w:p w:rsidR="00377766" w:rsidRDefault="007F2EE3" w:rsidP="007F2EE3">
      <w:pPr>
        <w:rPr>
          <w:szCs w:val="24"/>
        </w:rPr>
      </w:pPr>
      <w:r w:rsidRPr="007F2EE3">
        <w:rPr>
          <w:szCs w:val="24"/>
        </w:rPr>
        <w:t xml:space="preserve">Было организовано проведение </w:t>
      </w:r>
      <w:r w:rsidR="00377766">
        <w:rPr>
          <w:szCs w:val="24"/>
        </w:rPr>
        <w:t>2</w:t>
      </w:r>
      <w:r w:rsidRPr="007F2EE3">
        <w:rPr>
          <w:szCs w:val="24"/>
        </w:rPr>
        <w:t xml:space="preserve"> общих собраний членов Ассоциации</w:t>
      </w:r>
      <w:r w:rsidR="00362BF4">
        <w:rPr>
          <w:szCs w:val="24"/>
        </w:rPr>
        <w:t>, на которых рассматривались вопросы, отнесенные к компетенции собрания федеральным законом и Уставом Ассоциации</w:t>
      </w:r>
      <w:r w:rsidRPr="007F2EE3">
        <w:rPr>
          <w:szCs w:val="24"/>
        </w:rPr>
        <w:t>.</w:t>
      </w:r>
    </w:p>
    <w:p w:rsidR="00377766" w:rsidRDefault="00377766" w:rsidP="007F2EE3">
      <w:pPr>
        <w:rPr>
          <w:szCs w:val="24"/>
        </w:rPr>
      </w:pPr>
      <w:proofErr w:type="gramStart"/>
      <w:r>
        <w:rPr>
          <w:szCs w:val="24"/>
        </w:rPr>
        <w:t>В связи с изменениями законодательства Российской Федерации о градостроительной деятельности организовано ведение реестра членов Ассоциации в составе единого реестра сведения о членах</w:t>
      </w:r>
      <w:proofErr w:type="gramEnd"/>
      <w:r>
        <w:rPr>
          <w:szCs w:val="24"/>
        </w:rPr>
        <w:t xml:space="preserve"> саморегулируемых организаций и их обязательствах.</w:t>
      </w:r>
    </w:p>
    <w:p w:rsidR="00362BF4" w:rsidRDefault="00377766" w:rsidP="007F2EE3">
      <w:pPr>
        <w:rPr>
          <w:szCs w:val="24"/>
        </w:rPr>
      </w:pPr>
      <w:r>
        <w:rPr>
          <w:szCs w:val="24"/>
        </w:rPr>
        <w:t xml:space="preserve">Организована работа по содействию </w:t>
      </w:r>
      <w:r w:rsidR="006D3A68">
        <w:rPr>
          <w:szCs w:val="24"/>
        </w:rPr>
        <w:t xml:space="preserve">членам Ассоциации в части прохождения работниками членов Ассоциации независимой оценки квалификации. Осуществлялось информирование членов Ассоциации об особенностях действия норм законодательства о независимой оценки квалификации </w:t>
      </w:r>
      <w:r>
        <w:rPr>
          <w:szCs w:val="24"/>
        </w:rPr>
        <w:t xml:space="preserve"> </w:t>
      </w:r>
      <w:r w:rsidR="006D3A68">
        <w:rPr>
          <w:szCs w:val="24"/>
        </w:rPr>
        <w:t xml:space="preserve">во времени, об исчислении сроков прохождения независимой оценки квалификации. </w:t>
      </w:r>
    </w:p>
    <w:p w:rsidR="007F2EE3" w:rsidRDefault="006D3A68" w:rsidP="007F2EE3">
      <w:pPr>
        <w:rPr>
          <w:szCs w:val="24"/>
        </w:rPr>
      </w:pPr>
      <w:r>
        <w:rPr>
          <w:szCs w:val="24"/>
        </w:rPr>
        <w:t>Оказывая содействие в организации прохождения независимой оценки квалификации</w:t>
      </w:r>
      <w:r w:rsidR="005D63E6">
        <w:rPr>
          <w:szCs w:val="24"/>
        </w:rPr>
        <w:t>,</w:t>
      </w:r>
      <w:r>
        <w:rPr>
          <w:szCs w:val="24"/>
        </w:rPr>
        <w:t xml:space="preserve"> работники Ассоциации </w:t>
      </w:r>
      <w:r w:rsidR="005D63E6">
        <w:rPr>
          <w:szCs w:val="24"/>
        </w:rPr>
        <w:t>осуществляли предварительную оценку документов соискателей независимой оценки, консультировали заинтересованных лиц по вопросам подачи документов и экзаменационных процедур. Представитель Ассоциации принимал участие в работе Совета центра оценки квалификации АНО «ЦОК ПИР НГК»</w:t>
      </w:r>
      <w:r w:rsidR="00362BF4">
        <w:rPr>
          <w:szCs w:val="24"/>
        </w:rPr>
        <w:t>, оказывал содействие членам Ассоциации, обратившимся в указанный центр оценки квалификации, в организации прохождения независимой оценки квалификации.</w:t>
      </w:r>
    </w:p>
    <w:p w:rsidR="00DE1FEE" w:rsidRDefault="00974CF2" w:rsidP="007F2EE3">
      <w:pPr>
        <w:rPr>
          <w:szCs w:val="24"/>
        </w:rPr>
      </w:pPr>
      <w:r>
        <w:rPr>
          <w:szCs w:val="24"/>
        </w:rPr>
        <w:t>В отчетном году</w:t>
      </w:r>
      <w:r w:rsidR="00F72CE4">
        <w:rPr>
          <w:szCs w:val="24"/>
        </w:rPr>
        <w:t xml:space="preserve"> д</w:t>
      </w:r>
      <w:r w:rsidR="00DE1FEE" w:rsidRPr="00C77554">
        <w:rPr>
          <w:szCs w:val="24"/>
        </w:rPr>
        <w:t xml:space="preserve">еятельность Ассоциации обеспечивалась силами </w:t>
      </w:r>
      <w:r w:rsidR="008E76C5">
        <w:rPr>
          <w:szCs w:val="24"/>
        </w:rPr>
        <w:t>6</w:t>
      </w:r>
      <w:r w:rsidR="00DE1FEE" w:rsidRPr="00C77554">
        <w:rPr>
          <w:szCs w:val="24"/>
        </w:rPr>
        <w:t xml:space="preserve"> работников</w:t>
      </w:r>
      <w:r w:rsidR="00DE1FEE" w:rsidRPr="00A458C1">
        <w:rPr>
          <w:szCs w:val="24"/>
        </w:rPr>
        <w:t>, с учетом работы по совместительству численность работников Ассоциации в 20</w:t>
      </w:r>
      <w:r w:rsidR="006628B8">
        <w:rPr>
          <w:szCs w:val="24"/>
        </w:rPr>
        <w:t>2</w:t>
      </w:r>
      <w:r w:rsidR="005D63E6">
        <w:rPr>
          <w:szCs w:val="24"/>
        </w:rPr>
        <w:t>3</w:t>
      </w:r>
      <w:r w:rsidR="00DE1FEE" w:rsidRPr="00A458C1">
        <w:rPr>
          <w:szCs w:val="24"/>
        </w:rPr>
        <w:t xml:space="preserve"> году (среднесписочная)  составила </w:t>
      </w:r>
      <w:r w:rsidR="005D63E6">
        <w:rPr>
          <w:szCs w:val="24"/>
        </w:rPr>
        <w:t>5,35</w:t>
      </w:r>
      <w:r w:rsidR="00DE1FEE" w:rsidRPr="00A458C1">
        <w:rPr>
          <w:szCs w:val="24"/>
        </w:rPr>
        <w:t xml:space="preserve"> работников.</w:t>
      </w:r>
    </w:p>
    <w:p w:rsidR="00DE1FEE" w:rsidRPr="00A458C1" w:rsidRDefault="00FC2113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lastRenderedPageBreak/>
        <w:t>Финансовые показатели</w:t>
      </w:r>
    </w:p>
    <w:p w:rsidR="00DE1FEE" w:rsidRPr="00A458C1" w:rsidRDefault="00DE1FEE" w:rsidP="00D53658">
      <w:pPr>
        <w:rPr>
          <w:szCs w:val="24"/>
        </w:rPr>
      </w:pP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На начало 20</w:t>
      </w:r>
      <w:r>
        <w:rPr>
          <w:szCs w:val="24"/>
        </w:rPr>
        <w:t>2</w:t>
      </w:r>
      <w:r w:rsidR="005D63E6">
        <w:rPr>
          <w:szCs w:val="24"/>
        </w:rPr>
        <w:t>3</w:t>
      </w:r>
      <w:r w:rsidRPr="00D53658">
        <w:rPr>
          <w:szCs w:val="24"/>
        </w:rPr>
        <w:t xml:space="preserve"> года остаток средств Ассоциации составлял </w:t>
      </w:r>
      <w:r w:rsidR="005D63E6">
        <w:rPr>
          <w:szCs w:val="24"/>
        </w:rPr>
        <w:t>33 100</w:t>
      </w:r>
      <w:r w:rsidRPr="00D53658">
        <w:rPr>
          <w:szCs w:val="24"/>
        </w:rPr>
        <w:t xml:space="preserve"> тыс. руб. За отчетный период получено доходов – </w:t>
      </w:r>
      <w:r w:rsidR="005D63E6">
        <w:rPr>
          <w:szCs w:val="24"/>
        </w:rPr>
        <w:t>31 632</w:t>
      </w:r>
      <w:r w:rsidRPr="00D53658">
        <w:rPr>
          <w:szCs w:val="24"/>
        </w:rPr>
        <w:t xml:space="preserve"> тыс. руб., в т. ч. </w:t>
      </w:r>
      <w:r w:rsidR="005D63E6">
        <w:rPr>
          <w:szCs w:val="24"/>
        </w:rPr>
        <w:t>29 401</w:t>
      </w:r>
      <w:r w:rsidRPr="00D53658">
        <w:rPr>
          <w:szCs w:val="24"/>
        </w:rPr>
        <w:t xml:space="preserve"> тыс. руб. – доходы от членских взносов, </w:t>
      </w:r>
      <w:r w:rsidR="005D63E6">
        <w:rPr>
          <w:szCs w:val="24"/>
        </w:rPr>
        <w:t>2 231</w:t>
      </w:r>
      <w:r w:rsidRPr="00D53658">
        <w:rPr>
          <w:szCs w:val="24"/>
        </w:rPr>
        <w:t xml:space="preserve"> тыс. руб. – доходы о</w:t>
      </w:r>
      <w:r>
        <w:rPr>
          <w:szCs w:val="24"/>
        </w:rPr>
        <w:t xml:space="preserve">т размещения средств на вкладах </w:t>
      </w:r>
      <w:r w:rsidRPr="002B1170">
        <w:rPr>
          <w:szCs w:val="24"/>
        </w:rPr>
        <w:t>(</w:t>
      </w:r>
      <w:r>
        <w:rPr>
          <w:szCs w:val="24"/>
        </w:rPr>
        <w:t xml:space="preserve">без </w:t>
      </w:r>
      <w:r w:rsidR="005D63E6">
        <w:rPr>
          <w:szCs w:val="24"/>
        </w:rPr>
        <w:t>учета</w:t>
      </w:r>
      <w:r w:rsidRPr="00D53658">
        <w:rPr>
          <w:szCs w:val="24"/>
        </w:rPr>
        <w:t xml:space="preserve"> </w:t>
      </w:r>
      <w:r>
        <w:rPr>
          <w:szCs w:val="24"/>
        </w:rPr>
        <w:t>налога).</w:t>
      </w:r>
    </w:p>
    <w:p w:rsidR="00B91CAF" w:rsidRDefault="002001C8" w:rsidP="002001C8">
      <w:pPr>
        <w:rPr>
          <w:szCs w:val="24"/>
        </w:rPr>
      </w:pPr>
      <w:r w:rsidRPr="00D53658">
        <w:rPr>
          <w:szCs w:val="24"/>
        </w:rPr>
        <w:t>Расходы Ассоциации за 20</w:t>
      </w:r>
      <w:r>
        <w:rPr>
          <w:szCs w:val="24"/>
        </w:rPr>
        <w:t>2</w:t>
      </w:r>
      <w:r w:rsidR="005D63E6">
        <w:rPr>
          <w:szCs w:val="24"/>
        </w:rPr>
        <w:t>3</w:t>
      </w:r>
      <w:r w:rsidRPr="00D53658">
        <w:rPr>
          <w:szCs w:val="24"/>
        </w:rPr>
        <w:t xml:space="preserve"> год составили </w:t>
      </w:r>
      <w:r>
        <w:rPr>
          <w:szCs w:val="24"/>
        </w:rPr>
        <w:t>2</w:t>
      </w:r>
      <w:r w:rsidR="005D63E6">
        <w:rPr>
          <w:szCs w:val="24"/>
        </w:rPr>
        <w:t>2 671</w:t>
      </w:r>
      <w:r>
        <w:rPr>
          <w:szCs w:val="24"/>
        </w:rPr>
        <w:t xml:space="preserve"> </w:t>
      </w:r>
      <w:r w:rsidRPr="00D53658">
        <w:rPr>
          <w:szCs w:val="24"/>
        </w:rPr>
        <w:t>тыс. руб. Основные статьи расходов – оплата труда, аренда помещений, взносы в национальное объединение саморегулируемых организаций.</w:t>
      </w:r>
      <w:r>
        <w:rPr>
          <w:szCs w:val="24"/>
        </w:rPr>
        <w:t xml:space="preserve"> </w:t>
      </w:r>
    </w:p>
    <w:p w:rsidR="005D63E6" w:rsidRDefault="005D63E6" w:rsidP="002001C8">
      <w:pPr>
        <w:rPr>
          <w:szCs w:val="24"/>
        </w:rPr>
      </w:pPr>
      <w:r>
        <w:rPr>
          <w:szCs w:val="24"/>
        </w:rPr>
        <w:t xml:space="preserve">Доходы Ассоциации превысили ее расходы на </w:t>
      </w:r>
      <w:r w:rsidR="00487EC5">
        <w:rPr>
          <w:szCs w:val="24"/>
        </w:rPr>
        <w:t>8 961</w:t>
      </w:r>
      <w:r>
        <w:rPr>
          <w:szCs w:val="24"/>
        </w:rPr>
        <w:t xml:space="preserve"> тыс. руб., остаток собственных средств без учета средств компенсационных фондов по итогам года </w:t>
      </w:r>
      <w:r w:rsidR="00B91CAF">
        <w:rPr>
          <w:szCs w:val="24"/>
        </w:rPr>
        <w:t>составил 42 061 тыс. руб.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При осуществлении деятельности Ассоциации за </w:t>
      </w:r>
      <w:r>
        <w:rPr>
          <w:szCs w:val="24"/>
        </w:rPr>
        <w:t>202</w:t>
      </w:r>
      <w:r w:rsidR="00B91CAF">
        <w:rPr>
          <w:szCs w:val="24"/>
        </w:rPr>
        <w:t>3</w:t>
      </w:r>
      <w:r w:rsidRPr="00D53658">
        <w:rPr>
          <w:szCs w:val="24"/>
        </w:rPr>
        <w:t xml:space="preserve"> год произведенные расходы не превышали запланированные, утвержденная собранием смета Ассоциации соблюдена.</w:t>
      </w:r>
    </w:p>
    <w:p w:rsidR="005E5447" w:rsidRPr="00D53658" w:rsidRDefault="005E5447" w:rsidP="002001C8">
      <w:pPr>
        <w:rPr>
          <w:szCs w:val="24"/>
        </w:rPr>
      </w:pPr>
      <w:r>
        <w:rPr>
          <w:szCs w:val="24"/>
        </w:rPr>
        <w:t xml:space="preserve">Дополнительно проведена работа с членами Ассоциации, имеющими задолженность по уплате членских взносов. Выявлены организации, имеющие задолженность, им направлены обращения с предложением </w:t>
      </w:r>
      <w:proofErr w:type="gramStart"/>
      <w:r>
        <w:rPr>
          <w:szCs w:val="24"/>
        </w:rPr>
        <w:t>погасить</w:t>
      </w:r>
      <w:proofErr w:type="gramEnd"/>
      <w:r>
        <w:rPr>
          <w:szCs w:val="24"/>
        </w:rPr>
        <w:t xml:space="preserve"> задолженность. В результате </w:t>
      </w:r>
      <w:r w:rsidR="00F53E80">
        <w:rPr>
          <w:szCs w:val="24"/>
        </w:rPr>
        <w:t xml:space="preserve">полностью погасили </w:t>
      </w:r>
      <w:r w:rsidR="00174DB3">
        <w:rPr>
          <w:szCs w:val="24"/>
        </w:rPr>
        <w:t>задолженность 64 должника на общую сумму 1 582 тыс. руб.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Полные сведения о</w:t>
      </w:r>
      <w:r>
        <w:rPr>
          <w:szCs w:val="24"/>
        </w:rPr>
        <w:t xml:space="preserve"> запланированных и фактических</w:t>
      </w:r>
      <w:r w:rsidRPr="00D53658">
        <w:rPr>
          <w:szCs w:val="24"/>
        </w:rPr>
        <w:t xml:space="preserve"> расходах и доходах Ассоциации в соответствии со сметой Ассоциации на </w:t>
      </w:r>
      <w:r w:rsidR="00174DB3">
        <w:rPr>
          <w:szCs w:val="24"/>
        </w:rPr>
        <w:t>2023</w:t>
      </w:r>
      <w:r w:rsidRPr="00D53658">
        <w:rPr>
          <w:szCs w:val="24"/>
        </w:rPr>
        <w:t xml:space="preserve"> год приведены в отчете об исполнении сметы – </w:t>
      </w:r>
      <w:r>
        <w:rPr>
          <w:szCs w:val="24"/>
        </w:rPr>
        <w:t>П</w:t>
      </w:r>
      <w:r w:rsidRPr="00D53658">
        <w:rPr>
          <w:szCs w:val="24"/>
        </w:rPr>
        <w:t>риложение 1 к настоящему отчету.</w:t>
      </w:r>
      <w:r>
        <w:rPr>
          <w:szCs w:val="24"/>
        </w:rPr>
        <w:t xml:space="preserve"> Приведенные финансовые показатели отражены в бухгалтерской отчетности Ассоциации, которая по результатам обязательного аудита признана достоверной и безошибочной во всех существенных отношениях. Подтверждено соблюдение целевого принципа расходования средств.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 w:rsidR="00174DB3">
        <w:rPr>
          <w:szCs w:val="24"/>
        </w:rPr>
        <w:t>80 824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возмещения вреда на конец года составил </w:t>
      </w:r>
      <w:r w:rsidR="00174DB3">
        <w:rPr>
          <w:szCs w:val="24"/>
        </w:rPr>
        <w:t>49 700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>
        <w:rPr>
          <w:szCs w:val="24"/>
        </w:rPr>
        <w:t>Выплат из компенсационного фонда возмещения вреда и компенсационного фонда обеспечения договорных обязательств не осуществлялось. Обращений за такими выплатами не поступало. Снижения размеров компенсационных фондов</w:t>
      </w:r>
      <w:r w:rsidRPr="00344821">
        <w:rPr>
          <w:szCs w:val="24"/>
        </w:rPr>
        <w:t xml:space="preserve"> </w:t>
      </w:r>
      <w:r>
        <w:rPr>
          <w:szCs w:val="24"/>
        </w:rPr>
        <w:t xml:space="preserve">Ассоциации </w:t>
      </w:r>
      <w:r w:rsidRPr="00344821">
        <w:rPr>
          <w:szCs w:val="24"/>
        </w:rPr>
        <w:t>в результате обесценения финансовых активов</w:t>
      </w:r>
      <w:r>
        <w:rPr>
          <w:szCs w:val="24"/>
        </w:rPr>
        <w:t xml:space="preserve"> не происходило.</w:t>
      </w:r>
    </w:p>
    <w:p w:rsidR="002001C8" w:rsidRPr="00A458C1" w:rsidRDefault="002001C8" w:rsidP="002001C8">
      <w:pPr>
        <w:rPr>
          <w:szCs w:val="24"/>
        </w:rPr>
      </w:pPr>
      <w:r w:rsidRPr="00344821">
        <w:rPr>
          <w:szCs w:val="24"/>
        </w:rPr>
        <w:t xml:space="preserve"> </w:t>
      </w:r>
      <w:r w:rsidRPr="00D53658">
        <w:rPr>
          <w:szCs w:val="24"/>
        </w:rPr>
        <w:t>Средства компенсационных фондов Ассоциации в соответствии с принятым высшим</w:t>
      </w:r>
      <w:r w:rsidRPr="00A458C1">
        <w:rPr>
          <w:szCs w:val="24"/>
        </w:rPr>
        <w:t xml:space="preserve">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кредитным учреждениями для размещения средств компенсационных фондов</w:t>
      </w:r>
      <w:r>
        <w:rPr>
          <w:szCs w:val="24"/>
        </w:rPr>
        <w:t xml:space="preserve"> саморегулируемых организаций</w:t>
      </w:r>
      <w:r w:rsidRPr="00A458C1">
        <w:rPr>
          <w:szCs w:val="24"/>
        </w:rPr>
        <w:t xml:space="preserve"> – в Банке ВТБ (ПАО). </w:t>
      </w:r>
    </w:p>
    <w:p w:rsidR="00E525BD" w:rsidRPr="00A458C1" w:rsidRDefault="00E525BD" w:rsidP="00D53658">
      <w:pPr>
        <w:rPr>
          <w:szCs w:val="24"/>
        </w:rPr>
      </w:pPr>
    </w:p>
    <w:p w:rsidR="00E525BD" w:rsidRPr="00A458C1" w:rsidRDefault="00E525BD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>Контроль</w:t>
      </w:r>
      <w:r w:rsidR="00974CF2">
        <w:rPr>
          <w:b/>
          <w:szCs w:val="24"/>
        </w:rPr>
        <w:t xml:space="preserve"> и применение мер дисциплинарного воздействия</w:t>
      </w:r>
    </w:p>
    <w:p w:rsidR="00E525BD" w:rsidRPr="00A458C1" w:rsidRDefault="00E525BD" w:rsidP="00D53658">
      <w:pPr>
        <w:rPr>
          <w:b/>
          <w:szCs w:val="24"/>
        </w:rPr>
      </w:pPr>
    </w:p>
    <w:p w:rsidR="003023AA" w:rsidRPr="00180DA2" w:rsidRDefault="00E525BD" w:rsidP="00D53658">
      <w:pPr>
        <w:rPr>
          <w:szCs w:val="24"/>
        </w:rPr>
      </w:pPr>
      <w:r w:rsidRPr="00180DA2">
        <w:rPr>
          <w:szCs w:val="24"/>
        </w:rPr>
        <w:t xml:space="preserve">В отчетном </w:t>
      </w:r>
      <w:r w:rsidR="006628B8" w:rsidRPr="00180DA2">
        <w:rPr>
          <w:szCs w:val="24"/>
        </w:rPr>
        <w:t>202</w:t>
      </w:r>
      <w:r w:rsidR="00174DB3">
        <w:rPr>
          <w:szCs w:val="24"/>
        </w:rPr>
        <w:t>3</w:t>
      </w:r>
      <w:r w:rsidRPr="00180DA2">
        <w:rPr>
          <w:szCs w:val="24"/>
        </w:rPr>
        <w:t xml:space="preserve"> году Ассоциация осуществляла контроль деятельности ее членов </w:t>
      </w:r>
      <w:r w:rsidR="00AB2F22" w:rsidRPr="00180DA2">
        <w:rPr>
          <w:szCs w:val="24"/>
        </w:rPr>
        <w:t>в соответствии с</w:t>
      </w:r>
      <w:r w:rsidRPr="00180DA2">
        <w:rPr>
          <w:szCs w:val="24"/>
        </w:rPr>
        <w:t xml:space="preserve"> </w:t>
      </w:r>
      <w:r w:rsidR="00AB2F22" w:rsidRPr="00180DA2">
        <w:rPr>
          <w:szCs w:val="24"/>
        </w:rPr>
        <w:t>законодательством Российской Федерации</w:t>
      </w:r>
      <w:r w:rsidRPr="00180DA2">
        <w:rPr>
          <w:szCs w:val="24"/>
        </w:rPr>
        <w:t xml:space="preserve"> о градостроительной деятельности. </w:t>
      </w:r>
      <w:r w:rsidR="00AB2F22" w:rsidRPr="00180DA2">
        <w:rPr>
          <w:szCs w:val="24"/>
        </w:rPr>
        <w:t xml:space="preserve">При определении круга членов Ассоциации, подлежащих </w:t>
      </w:r>
      <w:r w:rsidR="002979C6">
        <w:rPr>
          <w:szCs w:val="24"/>
        </w:rPr>
        <w:t xml:space="preserve">плановой </w:t>
      </w:r>
      <w:r w:rsidR="00AB2F22" w:rsidRPr="00180DA2">
        <w:rPr>
          <w:szCs w:val="24"/>
        </w:rPr>
        <w:t xml:space="preserve">проверке, применялся </w:t>
      </w:r>
      <w:proofErr w:type="gramStart"/>
      <w:r w:rsidR="00AB2F22" w:rsidRPr="00180DA2">
        <w:rPr>
          <w:szCs w:val="24"/>
        </w:rPr>
        <w:t>риск-ориентированный</w:t>
      </w:r>
      <w:proofErr w:type="gramEnd"/>
      <w:r w:rsidR="00AB2F22" w:rsidRPr="00180DA2">
        <w:rPr>
          <w:szCs w:val="24"/>
        </w:rPr>
        <w:t xml:space="preserve"> подход.</w:t>
      </w:r>
    </w:p>
    <w:p w:rsidR="003023AA" w:rsidRPr="00180DA2" w:rsidRDefault="0047077C" w:rsidP="00D53658">
      <w:pPr>
        <w:rPr>
          <w:szCs w:val="24"/>
        </w:rPr>
      </w:pPr>
      <w:r w:rsidRPr="00180DA2">
        <w:rPr>
          <w:szCs w:val="24"/>
        </w:rPr>
        <w:t>Ассоциация в отчетном году исполняла функции оператора национального реестра специалистов в области инженерных изысканий и архитектурно-строительного проектирования. В ход</w:t>
      </w:r>
      <w:r w:rsidR="00C77554" w:rsidRPr="00180DA2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 w:rsidRPr="00180DA2">
        <w:rPr>
          <w:szCs w:val="24"/>
        </w:rPr>
        <w:t xml:space="preserve"> </w:t>
      </w:r>
      <w:r w:rsidR="003023AA" w:rsidRPr="00180DA2">
        <w:rPr>
          <w:szCs w:val="24"/>
        </w:rPr>
        <w:t xml:space="preserve">По результатам проверки и </w:t>
      </w:r>
      <w:proofErr w:type="gramStart"/>
      <w:r w:rsidR="003023AA" w:rsidRPr="00180DA2">
        <w:rPr>
          <w:szCs w:val="24"/>
        </w:rPr>
        <w:t>обработки</w:t>
      </w:r>
      <w:proofErr w:type="gramEnd"/>
      <w:r w:rsidR="003023AA" w:rsidRPr="00180DA2">
        <w:rPr>
          <w:szCs w:val="24"/>
        </w:rPr>
        <w:t xml:space="preserve"> </w:t>
      </w:r>
      <w:r w:rsidR="003023AA" w:rsidRPr="00180DA2">
        <w:rPr>
          <w:szCs w:val="24"/>
        </w:rPr>
        <w:lastRenderedPageBreak/>
        <w:t xml:space="preserve">направленных в Ассоциацию заявлений </w:t>
      </w:r>
      <w:r w:rsidR="0073485B" w:rsidRPr="00180DA2">
        <w:rPr>
          <w:szCs w:val="24"/>
        </w:rPr>
        <w:t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рассмотрения) и оказывали заявителям содействие в обращении в НОПРИЗ при наличии такой необходимости.</w:t>
      </w:r>
    </w:p>
    <w:p w:rsidR="00A5292B" w:rsidRDefault="002979C6" w:rsidP="00D53658">
      <w:pPr>
        <w:rPr>
          <w:szCs w:val="24"/>
        </w:rPr>
      </w:pPr>
      <w:r>
        <w:rPr>
          <w:szCs w:val="24"/>
        </w:rPr>
        <w:t xml:space="preserve">На отчетный год </w:t>
      </w:r>
      <w:r w:rsidR="00A5292B">
        <w:rPr>
          <w:szCs w:val="24"/>
        </w:rPr>
        <w:t>проведено</w:t>
      </w:r>
      <w:r>
        <w:rPr>
          <w:szCs w:val="24"/>
        </w:rPr>
        <w:t xml:space="preserve"> </w:t>
      </w:r>
      <w:r w:rsidR="00174DB3">
        <w:rPr>
          <w:szCs w:val="24"/>
        </w:rPr>
        <w:t>9</w:t>
      </w:r>
      <w:r w:rsidR="00A5292B">
        <w:rPr>
          <w:szCs w:val="24"/>
        </w:rPr>
        <w:t>6</w:t>
      </w:r>
      <w:r>
        <w:rPr>
          <w:szCs w:val="24"/>
        </w:rPr>
        <w:t xml:space="preserve"> плановых проверок</w:t>
      </w:r>
      <w:r w:rsidR="00174DB3">
        <w:rPr>
          <w:szCs w:val="24"/>
        </w:rPr>
        <w:t xml:space="preserve"> из 97 запланированных</w:t>
      </w:r>
      <w:r>
        <w:rPr>
          <w:szCs w:val="24"/>
        </w:rPr>
        <w:t>.</w:t>
      </w:r>
      <w:r w:rsidR="00174DB3">
        <w:rPr>
          <w:szCs w:val="24"/>
        </w:rPr>
        <w:t xml:space="preserve"> По результатам проверок в отдельных случаях выявлялись нарушения </w:t>
      </w:r>
      <w:r w:rsidR="00A5292B">
        <w:rPr>
          <w:szCs w:val="24"/>
        </w:rPr>
        <w:t>требований внутренних документов Ассоциации, материалы передавались в специализированный орган Ассоциации для применения мер дисциплинарного воздействия, всего по результатам планового контроля выявлено 6 случаев нарушения требований внутренних документов Ассоциации.</w:t>
      </w:r>
    </w:p>
    <w:p w:rsidR="00174DB3" w:rsidRPr="00180DA2" w:rsidRDefault="00174DB3" w:rsidP="00D53658">
      <w:pPr>
        <w:rPr>
          <w:szCs w:val="24"/>
        </w:rPr>
      </w:pPr>
      <w:r>
        <w:rPr>
          <w:szCs w:val="24"/>
        </w:rPr>
        <w:t xml:space="preserve">В течение отчетного 2023 года проведено </w:t>
      </w:r>
      <w:r w:rsidR="005D3768">
        <w:rPr>
          <w:szCs w:val="24"/>
        </w:rPr>
        <w:t>53</w:t>
      </w:r>
      <w:r>
        <w:rPr>
          <w:szCs w:val="24"/>
        </w:rPr>
        <w:t xml:space="preserve"> внеплановых провер</w:t>
      </w:r>
      <w:r w:rsidR="005D3768">
        <w:rPr>
          <w:szCs w:val="24"/>
        </w:rPr>
        <w:t>ки</w:t>
      </w:r>
      <w:r>
        <w:rPr>
          <w:szCs w:val="24"/>
        </w:rPr>
        <w:t>, предметом которых являлась проверка устранения ранее выявленных нарушений</w:t>
      </w:r>
      <w:r w:rsidR="00A5292B">
        <w:rPr>
          <w:szCs w:val="24"/>
        </w:rPr>
        <w:t>, в том числе в отношении членов Ассоциации (бывших членов Ассоциации), допустивших нарушения в 2022 году и не устранивших их до начала 2023 года</w:t>
      </w:r>
      <w:r>
        <w:rPr>
          <w:szCs w:val="24"/>
        </w:rPr>
        <w:t>.</w:t>
      </w:r>
    </w:p>
    <w:p w:rsidR="00180DA2" w:rsidRDefault="00180DA2" w:rsidP="00D53658">
      <w:pPr>
        <w:rPr>
          <w:szCs w:val="24"/>
        </w:rPr>
      </w:pPr>
      <w:proofErr w:type="gramStart"/>
      <w:r>
        <w:rPr>
          <w:szCs w:val="24"/>
        </w:rPr>
        <w:t>В результате работы Дисциплинарной комисси</w:t>
      </w:r>
      <w:bookmarkStart w:id="0" w:name="_GoBack"/>
      <w:bookmarkEnd w:id="0"/>
      <w:r>
        <w:rPr>
          <w:szCs w:val="24"/>
        </w:rPr>
        <w:t>и приняты решения о применении меры дисциплинарного воздействия в виде рекомендации об исключении из членов</w:t>
      </w:r>
      <w:proofErr w:type="gramEnd"/>
      <w:r>
        <w:rPr>
          <w:szCs w:val="24"/>
        </w:rPr>
        <w:t xml:space="preserve"> Ассоциации, подлежащей рассмотрению Советом Ассоциации, в отношении </w:t>
      </w:r>
      <w:r w:rsidR="00362BF4">
        <w:rPr>
          <w:szCs w:val="24"/>
        </w:rPr>
        <w:t>7</w:t>
      </w:r>
      <w:r>
        <w:rPr>
          <w:szCs w:val="24"/>
        </w:rPr>
        <w:t xml:space="preserve"> бывших членов Ассоциации. Прин</w:t>
      </w:r>
      <w:r w:rsidR="00174DB3">
        <w:rPr>
          <w:szCs w:val="24"/>
        </w:rPr>
        <w:t>имались также</w:t>
      </w:r>
      <w:r>
        <w:rPr>
          <w:szCs w:val="24"/>
        </w:rPr>
        <w:t xml:space="preserve"> меры дисциплинарного воздействия в виде приостановления права выполнять работы и вынесения предписания об устранении выявленных нарушений</w:t>
      </w:r>
      <w:r w:rsidR="007B43E7">
        <w:rPr>
          <w:szCs w:val="24"/>
        </w:rPr>
        <w:t xml:space="preserve"> – всего принято 48 решений</w:t>
      </w:r>
      <w:r w:rsidR="005228D5">
        <w:rPr>
          <w:szCs w:val="24"/>
        </w:rPr>
        <w:t>.</w:t>
      </w:r>
    </w:p>
    <w:p w:rsidR="002979C6" w:rsidRDefault="002979C6" w:rsidP="00D53658">
      <w:pPr>
        <w:rPr>
          <w:szCs w:val="24"/>
        </w:rPr>
      </w:pPr>
    </w:p>
    <w:p w:rsidR="005E5447" w:rsidRDefault="00E32228" w:rsidP="00E32228">
      <w:pPr>
        <w:ind w:firstLine="0"/>
        <w:rPr>
          <w:b/>
          <w:szCs w:val="24"/>
        </w:rPr>
      </w:pPr>
      <w:r w:rsidRPr="00E32228">
        <w:rPr>
          <w:b/>
          <w:szCs w:val="24"/>
        </w:rPr>
        <w:t xml:space="preserve">4. </w:t>
      </w:r>
      <w:r w:rsidR="005E5447">
        <w:rPr>
          <w:b/>
          <w:szCs w:val="24"/>
        </w:rPr>
        <w:t xml:space="preserve">Деятельность, направленная на развитие Ассоциации, </w:t>
      </w:r>
      <w:r w:rsidR="006668BD">
        <w:rPr>
          <w:b/>
          <w:szCs w:val="24"/>
        </w:rPr>
        <w:t xml:space="preserve">повышение </w:t>
      </w:r>
      <w:r w:rsidR="005324C9">
        <w:rPr>
          <w:b/>
          <w:szCs w:val="24"/>
        </w:rPr>
        <w:t xml:space="preserve">ее </w:t>
      </w:r>
      <w:r w:rsidR="006668BD">
        <w:rPr>
          <w:b/>
          <w:szCs w:val="24"/>
        </w:rPr>
        <w:t xml:space="preserve">конкурентоспособности, участие в общественных объединениях, </w:t>
      </w:r>
      <w:r w:rsidR="005324C9">
        <w:rPr>
          <w:b/>
          <w:szCs w:val="24"/>
        </w:rPr>
        <w:t>оказание содействия членам Ассоциации в пределах предмета саморегулирования</w:t>
      </w:r>
    </w:p>
    <w:p w:rsidR="005324C9" w:rsidRDefault="005324C9" w:rsidP="00E32228">
      <w:pPr>
        <w:ind w:firstLine="0"/>
        <w:rPr>
          <w:b/>
          <w:szCs w:val="24"/>
        </w:rPr>
      </w:pPr>
    </w:p>
    <w:p w:rsidR="00FE73AC" w:rsidRDefault="00FE73AC" w:rsidP="00FE73AC">
      <w:pPr>
        <w:rPr>
          <w:szCs w:val="24"/>
        </w:rPr>
      </w:pPr>
      <w:r>
        <w:rPr>
          <w:szCs w:val="24"/>
        </w:rPr>
        <w:t>В отчетном 202</w:t>
      </w:r>
      <w:r w:rsidR="00174DB3">
        <w:rPr>
          <w:szCs w:val="24"/>
        </w:rPr>
        <w:t>3</w:t>
      </w:r>
      <w:r>
        <w:rPr>
          <w:szCs w:val="24"/>
        </w:rPr>
        <w:t xml:space="preserve"> году представитель Ассоциации принимал участие в работе Национального объединения саморегулируемых организаций</w:t>
      </w:r>
      <w:r w:rsidRPr="00FE73AC">
        <w:rPr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в составе Комитета НОПРИЗ по саморегулированию. В целях выполнения функции по участию в обсуждении </w:t>
      </w:r>
      <w:r w:rsidRPr="00FE73AC">
        <w:rPr>
          <w:szCs w:val="24"/>
        </w:rPr>
        <w:t>проектов федеральных законов и иных нормативных правовых актов</w:t>
      </w:r>
      <w:r>
        <w:rPr>
          <w:szCs w:val="24"/>
        </w:rPr>
        <w:t xml:space="preserve"> представитель Ассоциации </w:t>
      </w:r>
      <w:r w:rsidR="00A5292B">
        <w:rPr>
          <w:szCs w:val="24"/>
        </w:rPr>
        <w:t>принимал участие в деятельности</w:t>
      </w:r>
      <w:r>
        <w:rPr>
          <w:szCs w:val="24"/>
        </w:rPr>
        <w:t xml:space="preserve"> рабочей группы </w:t>
      </w:r>
      <w:r w:rsidR="005324C9" w:rsidRPr="005324C9">
        <w:rPr>
          <w:szCs w:val="24"/>
        </w:rPr>
        <w:t>по взаимодействию с СРО</w:t>
      </w:r>
      <w:r w:rsidR="005324C9">
        <w:rPr>
          <w:szCs w:val="24"/>
        </w:rPr>
        <w:t xml:space="preserve"> </w:t>
      </w:r>
      <w:r w:rsidR="005324C9" w:rsidRPr="005324C9">
        <w:rPr>
          <w:szCs w:val="24"/>
        </w:rPr>
        <w:t>и ее членами Комитета по саморегулированию НОПРИЗ</w:t>
      </w:r>
      <w:r>
        <w:rPr>
          <w:szCs w:val="24"/>
        </w:rPr>
        <w:t>.</w:t>
      </w:r>
      <w:r w:rsidR="00362BF4">
        <w:rPr>
          <w:szCs w:val="24"/>
        </w:rPr>
        <w:t xml:space="preserve"> </w:t>
      </w:r>
      <w:r>
        <w:rPr>
          <w:szCs w:val="24"/>
        </w:rPr>
        <w:t xml:space="preserve">В ходе работы в составе Комитета представитель Ассоциации неоднократно выступал с докладами по содержанию проектов нормативных правовых актов, а также по вопросам </w:t>
      </w:r>
      <w:proofErr w:type="spellStart"/>
      <w:r>
        <w:rPr>
          <w:szCs w:val="24"/>
        </w:rPr>
        <w:t>правоприменения</w:t>
      </w:r>
      <w:proofErr w:type="spellEnd"/>
      <w:r>
        <w:rPr>
          <w:szCs w:val="24"/>
        </w:rPr>
        <w:t xml:space="preserve"> законодательства Российской Федерации о градостроительной деятельности.</w:t>
      </w:r>
    </w:p>
    <w:p w:rsidR="00FE73AC" w:rsidRDefault="005324C9" w:rsidP="00FE73AC">
      <w:pPr>
        <w:rPr>
          <w:szCs w:val="24"/>
        </w:rPr>
      </w:pPr>
      <w:r>
        <w:rPr>
          <w:szCs w:val="24"/>
        </w:rPr>
        <w:t xml:space="preserve">Представители Ассоциации неоднократно принимали участие в мероприятиях НОПРИЗ, в том числе </w:t>
      </w:r>
      <w:r w:rsidR="00A5292B">
        <w:rPr>
          <w:szCs w:val="24"/>
        </w:rPr>
        <w:t xml:space="preserve">в </w:t>
      </w:r>
      <w:proofErr w:type="spellStart"/>
      <w:r w:rsidR="00A5292B">
        <w:rPr>
          <w:szCs w:val="24"/>
        </w:rPr>
        <w:t>вебинарах</w:t>
      </w:r>
      <w:proofErr w:type="spellEnd"/>
      <w:r w:rsidR="00A5292B">
        <w:rPr>
          <w:szCs w:val="24"/>
        </w:rPr>
        <w:t>, конференциях, круглых столах</w:t>
      </w:r>
      <w:r>
        <w:rPr>
          <w:szCs w:val="24"/>
        </w:rPr>
        <w:t>.</w:t>
      </w:r>
    </w:p>
    <w:p w:rsidR="002E5538" w:rsidRDefault="00EF702B" w:rsidP="00FE73AC">
      <w:pPr>
        <w:rPr>
          <w:szCs w:val="24"/>
        </w:rPr>
      </w:pPr>
      <w:r>
        <w:rPr>
          <w:szCs w:val="24"/>
        </w:rPr>
        <w:t>В целях увеличения числа членов Ассоциации проводилась работа по выявлению лиц, которым может быть необходимо членство в саморегулируемой организации, рассылались</w:t>
      </w:r>
      <w:r w:rsidR="002E5538">
        <w:rPr>
          <w:szCs w:val="24"/>
        </w:rPr>
        <w:t xml:space="preserve"> соответствующие обращения.</w:t>
      </w:r>
      <w:r w:rsidR="007B43E7">
        <w:rPr>
          <w:szCs w:val="24"/>
        </w:rPr>
        <w:t xml:space="preserve"> </w:t>
      </w:r>
      <w:r w:rsidR="002E5538">
        <w:rPr>
          <w:szCs w:val="24"/>
        </w:rPr>
        <w:t xml:space="preserve">Проводился мониторинг состояния дел в других саморегулируемых организациях. </w:t>
      </w:r>
    </w:p>
    <w:p w:rsidR="002E5538" w:rsidRDefault="002E5538" w:rsidP="00FE73AC">
      <w:pPr>
        <w:rPr>
          <w:szCs w:val="24"/>
        </w:rPr>
      </w:pPr>
      <w:r>
        <w:rPr>
          <w:szCs w:val="24"/>
        </w:rPr>
        <w:t>Осуществлялись рассылки в адрес членов Ассоциации информационных материалов, методических рекомендаций, уведомлений о приближении контрольных сроков.</w:t>
      </w:r>
    </w:p>
    <w:p w:rsidR="006773B1" w:rsidRPr="00FE73AC" w:rsidRDefault="006773B1" w:rsidP="00FE73AC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2579B8" w:rsidRDefault="00C77554" w:rsidP="005228D5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5228D5">
        <w:rPr>
          <w:szCs w:val="24"/>
        </w:rPr>
        <w:t xml:space="preserve">  </w:t>
      </w:r>
      <w:r>
        <w:rPr>
          <w:szCs w:val="24"/>
        </w:rPr>
        <w:t xml:space="preserve">         А.А. Ходус</w:t>
      </w:r>
      <w:r w:rsidR="002579B8">
        <w:rPr>
          <w:szCs w:val="24"/>
        </w:rPr>
        <w:br w:type="page"/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"/>
        <w:gridCol w:w="49"/>
        <w:gridCol w:w="7469"/>
        <w:gridCol w:w="851"/>
        <w:gridCol w:w="850"/>
      </w:tblGrid>
      <w:tr w:rsidR="00826B44" w:rsidRPr="00352D9F" w:rsidTr="00362BF4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E32228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P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утв. решением внеочередного общего собрания членов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.202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протокол № 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приложение 3 к протоколу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362BF4">
        <w:trPr>
          <w:trHeight w:val="20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26B44" w:rsidRPr="00352D9F" w:rsidTr="00362BF4">
        <w:trPr>
          <w:trHeight w:val="20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228" w:rsidRDefault="00826B44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исполнении сметы Ассоциации СРО «Нефтегазизыскания-Альянс» 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 202</w:t>
            </w:r>
            <w:r w:rsidR="00362B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E32228" w:rsidRPr="00F2065D" w:rsidRDefault="00E32228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E5538" w:rsidRPr="00E32228" w:rsidRDefault="002E5538" w:rsidP="00362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33 100</w:t>
            </w:r>
          </w:p>
        </w:tc>
      </w:tr>
      <w:tr w:rsidR="00362BF4" w:rsidRPr="00344821" w:rsidTr="00362BF4">
        <w:trPr>
          <w:trHeight w:val="56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BF4" w:rsidRPr="00344821" w:rsidTr="00362BF4">
        <w:trPr>
          <w:trHeight w:val="28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</w:tr>
      <w:tr w:rsidR="00362BF4" w:rsidRPr="00344821" w:rsidTr="00362BF4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29 401</w:t>
            </w:r>
          </w:p>
        </w:tc>
      </w:tr>
      <w:tr w:rsidR="00362BF4" w:rsidRPr="00344821" w:rsidTr="00362BF4">
        <w:trPr>
          <w:trHeight w:val="4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курсовая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разница,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полученные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2 231</w:t>
            </w:r>
          </w:p>
        </w:tc>
      </w:tr>
      <w:tr w:rsidR="00362BF4" w:rsidRPr="00344821" w:rsidTr="00362BF4">
        <w:trPr>
          <w:trHeight w:val="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31 632</w:t>
            </w:r>
          </w:p>
        </w:tc>
      </w:tr>
      <w:tr w:rsidR="00362BF4" w:rsidRPr="00344821" w:rsidTr="00362BF4">
        <w:trPr>
          <w:trHeight w:val="19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362BF4" w:rsidRPr="00344821" w:rsidTr="00362BF4">
        <w:trPr>
          <w:trHeight w:val="2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(включая  взносы  ПФР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СС, ФОМС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16 444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16 175</w:t>
            </w:r>
          </w:p>
        </w:tc>
      </w:tr>
      <w:tr w:rsidR="00362BF4" w:rsidRPr="00344821" w:rsidTr="00362BF4">
        <w:trPr>
          <w:trHeight w:val="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62BF4" w:rsidRPr="00344821" w:rsidTr="00362BF4">
        <w:trPr>
          <w:trHeight w:val="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1 296</w:t>
            </w:r>
          </w:p>
        </w:tc>
      </w:tr>
      <w:tr w:rsidR="00362BF4" w:rsidRPr="00344821" w:rsidTr="00362BF4">
        <w:trPr>
          <w:trHeight w:val="3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интернет)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362BF4" w:rsidRPr="00344821" w:rsidTr="00362BF4">
        <w:trPr>
          <w:trHeight w:val="1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362BF4" w:rsidRPr="00344821" w:rsidTr="00362BF4">
        <w:trPr>
          <w:trHeight w:val="2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362BF4" w:rsidRPr="00344821" w:rsidTr="00362BF4">
        <w:trPr>
          <w:trHeight w:val="1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362BF4" w:rsidRPr="00344821" w:rsidTr="00362BF4">
        <w:trPr>
          <w:trHeight w:val="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564</w:t>
            </w:r>
          </w:p>
        </w:tc>
      </w:tr>
      <w:tr w:rsidR="00362BF4" w:rsidRPr="00344821" w:rsidTr="00362BF4">
        <w:trPr>
          <w:trHeight w:val="1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1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3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362BF4" w:rsidRPr="00344821" w:rsidTr="00362BF4">
        <w:trPr>
          <w:trHeight w:val="2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2 616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22 671</w:t>
            </w:r>
          </w:p>
        </w:tc>
      </w:tr>
      <w:tr w:rsidR="00362BF4" w:rsidRPr="00344821" w:rsidTr="00362BF4">
        <w:trPr>
          <w:trHeight w:val="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34 776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42 061</w:t>
            </w:r>
          </w:p>
        </w:tc>
      </w:tr>
    </w:tbl>
    <w:p w:rsidR="00362BF4" w:rsidRDefault="00362BF4" w:rsidP="00362BF4">
      <w:pPr>
        <w:rPr>
          <w:szCs w:val="24"/>
        </w:rPr>
      </w:pPr>
    </w:p>
    <w:p w:rsidR="00362BF4" w:rsidRDefault="00362BF4" w:rsidP="00362BF4">
      <w:pPr>
        <w:rPr>
          <w:szCs w:val="24"/>
        </w:rPr>
      </w:pPr>
    </w:p>
    <w:p w:rsidR="00362BF4" w:rsidRDefault="00362BF4" w:rsidP="00362BF4">
      <w:pPr>
        <w:rPr>
          <w:szCs w:val="24"/>
        </w:rPr>
      </w:pPr>
    </w:p>
    <w:p w:rsidR="00362BF4" w:rsidRPr="002579B8" w:rsidRDefault="00362BF4" w:rsidP="00362BF4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362BF4" w:rsidRDefault="00362BF4" w:rsidP="00362BF4">
      <w:pPr>
        <w:ind w:firstLine="0"/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p w:rsidR="002579B8" w:rsidRPr="002579B8" w:rsidRDefault="002579B8" w:rsidP="002E5538">
      <w:pPr>
        <w:rPr>
          <w:sz w:val="20"/>
          <w:szCs w:val="20"/>
        </w:rPr>
      </w:pPr>
    </w:p>
    <w:sectPr w:rsidR="002579B8" w:rsidRPr="002579B8" w:rsidSect="00EF702B"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B" w:rsidRDefault="00D27B5B" w:rsidP="00BF4CAF">
      <w:pPr>
        <w:spacing w:line="240" w:lineRule="auto"/>
      </w:pPr>
      <w:r>
        <w:separator/>
      </w:r>
    </w:p>
  </w:endnote>
  <w:endnote w:type="continuationSeparator" w:id="0">
    <w:p w:rsidR="00D27B5B" w:rsidRDefault="00D27B5B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B" w:rsidRDefault="00D27B5B" w:rsidP="00BF4CAF">
      <w:pPr>
        <w:spacing w:line="240" w:lineRule="auto"/>
      </w:pPr>
      <w:r>
        <w:separator/>
      </w:r>
    </w:p>
  </w:footnote>
  <w:footnote w:type="continuationSeparator" w:id="0">
    <w:p w:rsidR="00D27B5B" w:rsidRDefault="00D27B5B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B1E85"/>
    <w:multiLevelType w:val="hybridMultilevel"/>
    <w:tmpl w:val="38B29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216C1E"/>
    <w:multiLevelType w:val="hybridMultilevel"/>
    <w:tmpl w:val="977E5BDC"/>
    <w:lvl w:ilvl="0" w:tplc="BD08939E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107A7"/>
    <w:rsid w:val="00127877"/>
    <w:rsid w:val="00157DB1"/>
    <w:rsid w:val="00174DB3"/>
    <w:rsid w:val="00176C9E"/>
    <w:rsid w:val="00180DA2"/>
    <w:rsid w:val="002001C8"/>
    <w:rsid w:val="002061A0"/>
    <w:rsid w:val="002579B8"/>
    <w:rsid w:val="0026118A"/>
    <w:rsid w:val="00282E34"/>
    <w:rsid w:val="002979C6"/>
    <w:rsid w:val="002D1AE8"/>
    <w:rsid w:val="002E1795"/>
    <w:rsid w:val="002E5538"/>
    <w:rsid w:val="003023AA"/>
    <w:rsid w:val="003326C0"/>
    <w:rsid w:val="0033531B"/>
    <w:rsid w:val="00344821"/>
    <w:rsid w:val="00346B62"/>
    <w:rsid w:val="00362BF4"/>
    <w:rsid w:val="00377766"/>
    <w:rsid w:val="003C419C"/>
    <w:rsid w:val="0047077C"/>
    <w:rsid w:val="00471A26"/>
    <w:rsid w:val="00482CBE"/>
    <w:rsid w:val="00487EC5"/>
    <w:rsid w:val="004C371B"/>
    <w:rsid w:val="00503632"/>
    <w:rsid w:val="005064C6"/>
    <w:rsid w:val="005228D5"/>
    <w:rsid w:val="005324C9"/>
    <w:rsid w:val="00546327"/>
    <w:rsid w:val="00546E8A"/>
    <w:rsid w:val="00583462"/>
    <w:rsid w:val="00595562"/>
    <w:rsid w:val="005D3768"/>
    <w:rsid w:val="005D63E6"/>
    <w:rsid w:val="005E5447"/>
    <w:rsid w:val="006628B8"/>
    <w:rsid w:val="006668BD"/>
    <w:rsid w:val="006773B1"/>
    <w:rsid w:val="006D3A68"/>
    <w:rsid w:val="0073485B"/>
    <w:rsid w:val="00785DE3"/>
    <w:rsid w:val="007876C8"/>
    <w:rsid w:val="007B43E7"/>
    <w:rsid w:val="007F2EE3"/>
    <w:rsid w:val="00811A13"/>
    <w:rsid w:val="00826B44"/>
    <w:rsid w:val="0088502A"/>
    <w:rsid w:val="008A1538"/>
    <w:rsid w:val="008A5481"/>
    <w:rsid w:val="008D40B9"/>
    <w:rsid w:val="008E76C5"/>
    <w:rsid w:val="00905C0B"/>
    <w:rsid w:val="00933822"/>
    <w:rsid w:val="00974CF2"/>
    <w:rsid w:val="009A46F6"/>
    <w:rsid w:val="00A201D1"/>
    <w:rsid w:val="00A458C1"/>
    <w:rsid w:val="00A5292B"/>
    <w:rsid w:val="00A959C3"/>
    <w:rsid w:val="00AB2F22"/>
    <w:rsid w:val="00AB5F80"/>
    <w:rsid w:val="00AD04E4"/>
    <w:rsid w:val="00B25A85"/>
    <w:rsid w:val="00B41102"/>
    <w:rsid w:val="00B765F7"/>
    <w:rsid w:val="00B91CAF"/>
    <w:rsid w:val="00BA1546"/>
    <w:rsid w:val="00BF4CAF"/>
    <w:rsid w:val="00BF59CF"/>
    <w:rsid w:val="00BF7BD5"/>
    <w:rsid w:val="00C06850"/>
    <w:rsid w:val="00C501A1"/>
    <w:rsid w:val="00C7065A"/>
    <w:rsid w:val="00C77554"/>
    <w:rsid w:val="00CD6B61"/>
    <w:rsid w:val="00D27B5B"/>
    <w:rsid w:val="00D53658"/>
    <w:rsid w:val="00D917C4"/>
    <w:rsid w:val="00DA28A7"/>
    <w:rsid w:val="00DB549C"/>
    <w:rsid w:val="00DD3885"/>
    <w:rsid w:val="00DE1FEE"/>
    <w:rsid w:val="00E32228"/>
    <w:rsid w:val="00E525BD"/>
    <w:rsid w:val="00E53209"/>
    <w:rsid w:val="00E71EE8"/>
    <w:rsid w:val="00EA4988"/>
    <w:rsid w:val="00EB141A"/>
    <w:rsid w:val="00ED466C"/>
    <w:rsid w:val="00EF702B"/>
    <w:rsid w:val="00F2065D"/>
    <w:rsid w:val="00F35FED"/>
    <w:rsid w:val="00F52A08"/>
    <w:rsid w:val="00F53E80"/>
    <w:rsid w:val="00F72CE4"/>
    <w:rsid w:val="00FC2113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5</cp:revision>
  <cp:lastPrinted>2020-03-06T13:58:00Z</cp:lastPrinted>
  <dcterms:created xsi:type="dcterms:W3CDTF">2024-03-11T12:00:00Z</dcterms:created>
  <dcterms:modified xsi:type="dcterms:W3CDTF">2024-03-12T07:18:00Z</dcterms:modified>
</cp:coreProperties>
</file>